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E.W. SCRIPPS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shares, $.01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811054402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GOLDMAN</w:t>
              <w:br/>
              <w:t xml:space="preserve">191 MASON STREET, </w:t>
              <w:br/>
              <w:t>GREENWICH, CT, 06830</w:t>
              <w:br/>
              <w:t>914-921-5000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0"/>
        <w:gridCol w:w="8085"/>
      </w:tblGrid>
      <w:tr>
        <w:trPr/>
        <w:tc>
          <w:tcPr>
            <w:tcW w:w="2120" w:type="dxa"/>
            <w:tcBorders/>
            <w:vAlign w:val="center"/>
          </w:tcPr>
          <w:p>
            <w:pPr>
              <w:pStyle w:val="TableContents"/>
              <w:bidi w:val="0"/>
              <w:spacing w:before="0" w:after="283"/>
              <w:jc w:val="left"/>
              <w:rPr/>
            </w:pPr>
            <w:r>
              <w:rPr/>
              <w:t>1</w:t>
            </w:r>
          </w:p>
        </w:tc>
        <w:tc>
          <w:tcPr>
            <w:tcW w:w="808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INVESTORS, INC. ET AL</w:t>
            </w:r>
          </w:p>
        </w:tc>
      </w:tr>
      <w:tr>
        <w:trPr/>
        <w:tc>
          <w:tcPr>
            <w:tcW w:w="2120" w:type="dxa"/>
            <w:tcBorders/>
            <w:vAlign w:val="center"/>
          </w:tcPr>
          <w:p>
            <w:pPr>
              <w:pStyle w:val="TableContents"/>
              <w:bidi w:val="0"/>
              <w:spacing w:before="0" w:after="283"/>
              <w:jc w:val="left"/>
              <w:rPr/>
            </w:pPr>
            <w:r>
              <w:rPr/>
              <w:t>2</w:t>
            </w:r>
          </w:p>
        </w:tc>
        <w:tc>
          <w:tcPr>
            <w:tcW w:w="80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0" w:type="dxa"/>
            <w:tcBorders/>
            <w:vAlign w:val="center"/>
          </w:tcPr>
          <w:p>
            <w:pPr>
              <w:pStyle w:val="TableContents"/>
              <w:bidi w:val="0"/>
              <w:spacing w:before="0" w:after="283"/>
              <w:jc w:val="left"/>
              <w:rPr/>
            </w:pPr>
            <w:r>
              <w:rPr/>
              <w:t>3</w:t>
            </w:r>
          </w:p>
        </w:tc>
        <w:tc>
          <w:tcPr>
            <w:tcW w:w="8085" w:type="dxa"/>
            <w:tcBorders/>
            <w:vAlign w:val="center"/>
          </w:tcPr>
          <w:p>
            <w:pPr>
              <w:pStyle w:val="TableContents"/>
              <w:bidi w:val="0"/>
              <w:spacing w:before="0" w:after="283"/>
              <w:jc w:val="left"/>
              <w:rPr/>
            </w:pPr>
            <w:r>
              <w:rPr/>
              <w:t>SEC use only</w:t>
            </w:r>
          </w:p>
        </w:tc>
      </w:tr>
      <w:tr>
        <w:trPr/>
        <w:tc>
          <w:tcPr>
            <w:tcW w:w="2120" w:type="dxa"/>
            <w:tcBorders/>
            <w:vAlign w:val="center"/>
          </w:tcPr>
          <w:p>
            <w:pPr>
              <w:pStyle w:val="TableContents"/>
              <w:bidi w:val="0"/>
              <w:spacing w:before="0" w:after="283"/>
              <w:jc w:val="left"/>
              <w:rPr/>
            </w:pPr>
            <w:r>
              <w:rPr/>
              <w:t>4</w:t>
            </w:r>
          </w:p>
        </w:tc>
        <w:tc>
          <w:tcPr>
            <w:tcW w:w="808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0" w:type="dxa"/>
            <w:tcBorders/>
            <w:vAlign w:val="center"/>
          </w:tcPr>
          <w:p>
            <w:pPr>
              <w:pStyle w:val="TableContents"/>
              <w:bidi w:val="0"/>
              <w:spacing w:before="0" w:after="283"/>
              <w:jc w:val="left"/>
              <w:rPr/>
            </w:pPr>
            <w:r>
              <w:rPr/>
              <w:t>5</w:t>
            </w:r>
          </w:p>
        </w:tc>
        <w:tc>
          <w:tcPr>
            <w:tcW w:w="808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6</w:t>
            </w:r>
          </w:p>
        </w:tc>
        <w:tc>
          <w:tcPr>
            <w:tcW w:w="80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2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11</w:t>
            </w:r>
          </w:p>
        </w:tc>
        <w:tc>
          <w:tcPr>
            <w:tcW w:w="80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1,600.00</w:t>
            </w:r>
          </w:p>
        </w:tc>
      </w:tr>
      <w:tr>
        <w:trPr/>
        <w:tc>
          <w:tcPr>
            <w:tcW w:w="2120" w:type="dxa"/>
            <w:tcBorders/>
            <w:vAlign w:val="center"/>
          </w:tcPr>
          <w:p>
            <w:pPr>
              <w:pStyle w:val="TableContents"/>
              <w:bidi w:val="0"/>
              <w:spacing w:before="0" w:after="283"/>
              <w:jc w:val="left"/>
              <w:rPr/>
            </w:pPr>
            <w:r>
              <w:rPr/>
              <w:t>12</w:t>
            </w:r>
          </w:p>
        </w:tc>
        <w:tc>
          <w:tcPr>
            <w:tcW w:w="808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13</w:t>
            </w:r>
          </w:p>
        </w:tc>
        <w:tc>
          <w:tcPr>
            <w:tcW w:w="808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0" w:type="dxa"/>
            <w:tcBorders/>
            <w:vAlign w:val="center"/>
          </w:tcPr>
          <w:p>
            <w:pPr>
              <w:pStyle w:val="TableContents"/>
              <w:bidi w:val="0"/>
              <w:spacing w:before="0" w:after="283"/>
              <w:jc w:val="left"/>
              <w:rPr/>
            </w:pPr>
            <w:r>
              <w:rPr/>
              <w:t>14</w:t>
            </w:r>
          </w:p>
        </w:tc>
        <w:tc>
          <w:tcPr>
            <w:tcW w:w="80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FUNDS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1,315,016.00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1,315,016.00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1,315,016.00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Asset Management Inc.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2,570,787.00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2,621,187.00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2,621,187.00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4"/>
        <w:gridCol w:w="8081"/>
      </w:tblGrid>
      <w:tr>
        <w:trPr/>
        <w:tc>
          <w:tcPr>
            <w:tcW w:w="2124" w:type="dxa"/>
            <w:tcBorders/>
            <w:vAlign w:val="center"/>
          </w:tcPr>
          <w:p>
            <w:pPr>
              <w:pStyle w:val="TableContents"/>
              <w:bidi w:val="0"/>
              <w:spacing w:before="0" w:after="283"/>
              <w:jc w:val="left"/>
              <w:rPr/>
            </w:pPr>
            <w:r>
              <w:rPr/>
              <w:t>1</w:t>
            </w:r>
          </w:p>
        </w:tc>
        <w:tc>
          <w:tcPr>
            <w:tcW w:w="808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&amp; Co INVESTMENT ADVISERS, INC.</w:t>
            </w:r>
          </w:p>
        </w:tc>
      </w:tr>
      <w:tr>
        <w:trPr/>
        <w:tc>
          <w:tcPr>
            <w:tcW w:w="2124" w:type="dxa"/>
            <w:tcBorders/>
            <w:vAlign w:val="center"/>
          </w:tcPr>
          <w:p>
            <w:pPr>
              <w:pStyle w:val="TableContents"/>
              <w:bidi w:val="0"/>
              <w:spacing w:before="0" w:after="283"/>
              <w:jc w:val="left"/>
              <w:rPr/>
            </w:pPr>
            <w:r>
              <w:rPr/>
              <w:t>2</w:t>
            </w:r>
          </w:p>
        </w:tc>
        <w:tc>
          <w:tcPr>
            <w:tcW w:w="808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4" w:type="dxa"/>
            <w:tcBorders/>
            <w:vAlign w:val="center"/>
          </w:tcPr>
          <w:p>
            <w:pPr>
              <w:pStyle w:val="TableContents"/>
              <w:bidi w:val="0"/>
              <w:spacing w:before="0" w:after="283"/>
              <w:jc w:val="left"/>
              <w:rPr/>
            </w:pPr>
            <w:r>
              <w:rPr/>
              <w:t>3</w:t>
            </w:r>
          </w:p>
        </w:tc>
        <w:tc>
          <w:tcPr>
            <w:tcW w:w="8081" w:type="dxa"/>
            <w:tcBorders/>
            <w:vAlign w:val="center"/>
          </w:tcPr>
          <w:p>
            <w:pPr>
              <w:pStyle w:val="TableContents"/>
              <w:bidi w:val="0"/>
              <w:spacing w:before="0" w:after="283"/>
              <w:jc w:val="left"/>
              <w:rPr/>
            </w:pPr>
            <w:r>
              <w:rPr/>
              <w:t>SEC use only</w:t>
            </w:r>
          </w:p>
        </w:tc>
      </w:tr>
      <w:tr>
        <w:trPr/>
        <w:tc>
          <w:tcPr>
            <w:tcW w:w="2124" w:type="dxa"/>
            <w:tcBorders/>
            <w:vAlign w:val="center"/>
          </w:tcPr>
          <w:p>
            <w:pPr>
              <w:pStyle w:val="TableContents"/>
              <w:bidi w:val="0"/>
              <w:spacing w:before="0" w:after="283"/>
              <w:jc w:val="left"/>
              <w:rPr/>
            </w:pPr>
            <w:r>
              <w:rPr/>
              <w:t>4</w:t>
            </w:r>
          </w:p>
        </w:tc>
        <w:tc>
          <w:tcPr>
            <w:tcW w:w="808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4" w:type="dxa"/>
            <w:tcBorders/>
            <w:vAlign w:val="center"/>
          </w:tcPr>
          <w:p>
            <w:pPr>
              <w:pStyle w:val="TableContents"/>
              <w:bidi w:val="0"/>
              <w:spacing w:before="0" w:after="283"/>
              <w:jc w:val="left"/>
              <w:rPr/>
            </w:pPr>
            <w:r>
              <w:rPr/>
              <w:t>5</w:t>
            </w:r>
          </w:p>
        </w:tc>
        <w:tc>
          <w:tcPr>
            <w:tcW w:w="808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4" w:type="dxa"/>
            <w:tcBorders/>
            <w:vAlign w:val="center"/>
          </w:tcPr>
          <w:p>
            <w:pPr>
              <w:pStyle w:val="TableContents"/>
              <w:bidi w:val="0"/>
              <w:spacing w:before="0" w:after="283"/>
              <w:jc w:val="left"/>
              <w:rPr/>
            </w:pPr>
            <w:r>
              <w:rPr/>
              <w:t>6</w:t>
            </w:r>
          </w:p>
        </w:tc>
        <w:tc>
          <w:tcPr>
            <w:tcW w:w="808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217,250.00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217,250.00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1" w:type="dxa"/>
            <w:tcBorders/>
            <w:vAlign w:val="center"/>
          </w:tcPr>
          <w:p>
            <w:pPr>
              <w:pStyle w:val="TableContents"/>
              <w:bidi w:val="0"/>
              <w:spacing w:before="0" w:after="283"/>
              <w:jc w:val="left"/>
              <w:rPr>
                <w:sz w:val="4"/>
                <w:szCs w:val="4"/>
              </w:rPr>
            </w:pPr>
            <w:r>
              <w:rPr>
                <w:sz w:val="4"/>
                <w:szCs w:val="4"/>
              </w:rPr>
            </w:r>
          </w:p>
        </w:tc>
      </w:tr>
      <w:tr>
        <w:trPr/>
        <w:tc>
          <w:tcPr>
            <w:tcW w:w="2124" w:type="dxa"/>
            <w:tcBorders/>
            <w:vAlign w:val="center"/>
          </w:tcPr>
          <w:p>
            <w:pPr>
              <w:pStyle w:val="TableContents"/>
              <w:bidi w:val="0"/>
              <w:spacing w:before="0" w:after="283"/>
              <w:jc w:val="left"/>
              <w:rPr/>
            </w:pPr>
            <w:r>
              <w:rPr/>
              <w:t>11</w:t>
            </w:r>
          </w:p>
        </w:tc>
        <w:tc>
          <w:tcPr>
            <w:tcW w:w="808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217,250.00</w:t>
            </w:r>
          </w:p>
        </w:tc>
      </w:tr>
      <w:tr>
        <w:trPr/>
        <w:tc>
          <w:tcPr>
            <w:tcW w:w="2124" w:type="dxa"/>
            <w:tcBorders/>
            <w:vAlign w:val="center"/>
          </w:tcPr>
          <w:p>
            <w:pPr>
              <w:pStyle w:val="TableContents"/>
              <w:bidi w:val="0"/>
              <w:spacing w:before="0" w:after="283"/>
              <w:jc w:val="left"/>
              <w:rPr/>
            </w:pPr>
            <w:r>
              <w:rPr/>
              <w:t>12</w:t>
            </w:r>
          </w:p>
        </w:tc>
        <w:tc>
          <w:tcPr>
            <w:tcW w:w="808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4" w:type="dxa"/>
            <w:tcBorders/>
            <w:vAlign w:val="center"/>
          </w:tcPr>
          <w:p>
            <w:pPr>
              <w:pStyle w:val="TableContents"/>
              <w:bidi w:val="0"/>
              <w:spacing w:before="0" w:after="283"/>
              <w:jc w:val="left"/>
              <w:rPr/>
            </w:pPr>
            <w:r>
              <w:rPr/>
              <w:t>13</w:t>
            </w:r>
          </w:p>
        </w:tc>
        <w:tc>
          <w:tcPr>
            <w:tcW w:w="808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24" w:type="dxa"/>
            <w:tcBorders/>
            <w:vAlign w:val="center"/>
          </w:tcPr>
          <w:p>
            <w:pPr>
              <w:pStyle w:val="TableContents"/>
              <w:bidi w:val="0"/>
              <w:spacing w:before="0" w:after="283"/>
              <w:jc w:val="left"/>
              <w:rPr/>
            </w:pPr>
            <w:r>
              <w:rPr/>
              <w:t>14</w:t>
            </w:r>
          </w:p>
        </w:tc>
        <w:tc>
          <w:tcPr>
            <w:tcW w:w="808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01"/>
        <w:gridCol w:w="8104"/>
      </w:tblGrid>
      <w:tr>
        <w:trPr/>
        <w:tc>
          <w:tcPr>
            <w:tcW w:w="2101" w:type="dxa"/>
            <w:tcBorders/>
            <w:vAlign w:val="center"/>
          </w:tcPr>
          <w:p>
            <w:pPr>
              <w:pStyle w:val="TableContents"/>
              <w:bidi w:val="0"/>
              <w:spacing w:before="0" w:after="283"/>
              <w:jc w:val="left"/>
              <w:rPr/>
            </w:pPr>
            <w:r>
              <w:rPr/>
              <w:t>1</w:t>
            </w:r>
          </w:p>
        </w:tc>
        <w:tc>
          <w:tcPr>
            <w:tcW w:w="810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MJG ASSOCIATES, INC.</w:t>
            </w:r>
          </w:p>
        </w:tc>
      </w:tr>
      <w:tr>
        <w:trPr/>
        <w:tc>
          <w:tcPr>
            <w:tcW w:w="2101" w:type="dxa"/>
            <w:tcBorders/>
            <w:vAlign w:val="center"/>
          </w:tcPr>
          <w:p>
            <w:pPr>
              <w:pStyle w:val="TableContents"/>
              <w:bidi w:val="0"/>
              <w:spacing w:before="0" w:after="283"/>
              <w:jc w:val="left"/>
              <w:rPr/>
            </w:pPr>
            <w:r>
              <w:rPr/>
              <w:t>2</w:t>
            </w:r>
          </w:p>
        </w:tc>
        <w:tc>
          <w:tcPr>
            <w:tcW w:w="810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01" w:type="dxa"/>
            <w:tcBorders/>
            <w:vAlign w:val="center"/>
          </w:tcPr>
          <w:p>
            <w:pPr>
              <w:pStyle w:val="TableContents"/>
              <w:bidi w:val="0"/>
              <w:spacing w:before="0" w:after="283"/>
              <w:jc w:val="left"/>
              <w:rPr/>
            </w:pPr>
            <w:r>
              <w:rPr/>
              <w:t>3</w:t>
            </w:r>
          </w:p>
        </w:tc>
        <w:tc>
          <w:tcPr>
            <w:tcW w:w="8104" w:type="dxa"/>
            <w:tcBorders/>
            <w:vAlign w:val="center"/>
          </w:tcPr>
          <w:p>
            <w:pPr>
              <w:pStyle w:val="TableContents"/>
              <w:bidi w:val="0"/>
              <w:spacing w:before="0" w:after="283"/>
              <w:jc w:val="left"/>
              <w:rPr/>
            </w:pPr>
            <w:r>
              <w:rPr/>
              <w:t>SEC use only</w:t>
            </w:r>
          </w:p>
        </w:tc>
      </w:tr>
      <w:tr>
        <w:trPr/>
        <w:tc>
          <w:tcPr>
            <w:tcW w:w="2101" w:type="dxa"/>
            <w:tcBorders/>
            <w:vAlign w:val="center"/>
          </w:tcPr>
          <w:p>
            <w:pPr>
              <w:pStyle w:val="TableContents"/>
              <w:bidi w:val="0"/>
              <w:spacing w:before="0" w:after="283"/>
              <w:jc w:val="left"/>
              <w:rPr/>
            </w:pPr>
            <w:r>
              <w:rPr/>
              <w:t>4</w:t>
            </w:r>
          </w:p>
        </w:tc>
        <w:tc>
          <w:tcPr>
            <w:tcW w:w="810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01" w:type="dxa"/>
            <w:tcBorders/>
            <w:vAlign w:val="center"/>
          </w:tcPr>
          <w:p>
            <w:pPr>
              <w:pStyle w:val="TableContents"/>
              <w:bidi w:val="0"/>
              <w:spacing w:before="0" w:after="283"/>
              <w:jc w:val="left"/>
              <w:rPr/>
            </w:pPr>
            <w:r>
              <w:rPr/>
              <w:t>5</w:t>
            </w:r>
          </w:p>
        </w:tc>
        <w:tc>
          <w:tcPr>
            <w:tcW w:w="810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01" w:type="dxa"/>
            <w:tcBorders/>
            <w:vAlign w:val="center"/>
          </w:tcPr>
          <w:p>
            <w:pPr>
              <w:pStyle w:val="TableContents"/>
              <w:bidi w:val="0"/>
              <w:spacing w:before="0" w:after="283"/>
              <w:jc w:val="left"/>
              <w:rPr/>
            </w:pPr>
            <w:r>
              <w:rPr/>
              <w:t>6</w:t>
            </w:r>
          </w:p>
        </w:tc>
        <w:tc>
          <w:tcPr>
            <w:tcW w:w="810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CONNECTICUT </w:t>
            </w:r>
          </w:p>
        </w:tc>
      </w:tr>
      <w:tr>
        <w:trPr/>
        <w:tc>
          <w:tcPr>
            <w:tcW w:w="210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14,500.00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4"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11</w:t>
            </w:r>
          </w:p>
        </w:tc>
        <w:tc>
          <w:tcPr>
            <w:tcW w:w="810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14,500.00</w:t>
            </w:r>
          </w:p>
        </w:tc>
      </w:tr>
      <w:tr>
        <w:trPr/>
        <w:tc>
          <w:tcPr>
            <w:tcW w:w="2101" w:type="dxa"/>
            <w:tcBorders/>
            <w:vAlign w:val="center"/>
          </w:tcPr>
          <w:p>
            <w:pPr>
              <w:pStyle w:val="TableContents"/>
              <w:bidi w:val="0"/>
              <w:spacing w:before="0" w:after="283"/>
              <w:jc w:val="left"/>
              <w:rPr/>
            </w:pPr>
            <w:r>
              <w:rPr/>
              <w:t>12</w:t>
            </w:r>
          </w:p>
        </w:tc>
        <w:tc>
          <w:tcPr>
            <w:tcW w:w="810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01" w:type="dxa"/>
            <w:tcBorders/>
            <w:vAlign w:val="center"/>
          </w:tcPr>
          <w:p>
            <w:pPr>
              <w:pStyle w:val="TableContents"/>
              <w:bidi w:val="0"/>
              <w:spacing w:before="0" w:after="283"/>
              <w:jc w:val="left"/>
              <w:rPr/>
            </w:pPr>
            <w:r>
              <w:rPr/>
              <w:t>13</w:t>
            </w:r>
          </w:p>
        </w:tc>
        <w:tc>
          <w:tcPr>
            <w:tcW w:w="810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01" w:type="dxa"/>
            <w:tcBorders/>
            <w:vAlign w:val="center"/>
          </w:tcPr>
          <w:p>
            <w:pPr>
              <w:pStyle w:val="TableContents"/>
              <w:bidi w:val="0"/>
              <w:spacing w:before="0" w:after="283"/>
              <w:jc w:val="left"/>
              <w:rPr/>
            </w:pPr>
            <w:r>
              <w:rPr/>
              <w:t>14</w:t>
            </w:r>
          </w:p>
        </w:tc>
        <w:tc>
          <w:tcPr>
            <w:tcW w:w="810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Teton Advisors, LLC</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205,000.00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205,000.00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205,000.00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GGCP,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Associated Capital Group,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811054402</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MARIO J</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7,500.00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$.01 par value per share</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E.W. SCRIPPS Co</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312 WALNUT STREET, 312 WALNUT STREET, CININNATI, OHIO , 45202.</w:t>
            </w:r>
          </w:p>
        </w:tc>
      </w:tr>
      <w:tr>
        <w:trPr/>
        <w:tc>
          <w:tcPr>
            <w:tcW w:w="1148" w:type="dxa"/>
            <w:tcBorders/>
            <w:vAlign w:val="center"/>
          </w:tcPr>
          <w:p>
            <w:pPr>
              <w:pStyle w:val="TableContents"/>
              <w:bidi w:val="0"/>
              <w:spacing w:before="0" w:after="283"/>
              <w:jc w:val="left"/>
              <w:rPr/>
            </w:pPr>
            <w:r>
              <w:rPr/>
              <w:t>Item 2.</w:t>
            </w:r>
          </w:p>
        </w:tc>
        <w:tc>
          <w:tcPr>
            <w:tcW w:w="9057" w:type="dxa"/>
            <w:tcBorders/>
            <w:vAlign w:val="center"/>
          </w:tcPr>
          <w:p>
            <w:pPr>
              <w:pStyle w:val="TableContents"/>
              <w:bidi w:val="0"/>
              <w:spacing w:before="0" w:after="283"/>
              <w:jc w:val="left"/>
              <w:rPr/>
            </w:pPr>
            <w:r>
              <w:rPr/>
              <w:t>Identity and Background</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 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 xml:space="preserve">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Wyoming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 xml:space="preserve">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Keeley Small Cap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Keeley-Teton, an investment adviser registered under the Advisers Act, provides discretionary advisory services to The TETON Convertible Securities Fund and their holding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 </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(f)</w:t>
            </w:r>
          </w:p>
        </w:tc>
        <w:tc>
          <w:tcPr>
            <w:tcW w:w="9057" w:type="dxa"/>
            <w:tcBorders/>
            <w:vAlign w:val="center"/>
          </w:tcPr>
          <w:p>
            <w:pPr>
              <w:pStyle w:val="TableContents"/>
              <w:bidi w:val="0"/>
              <w:spacing w:before="0" w:after="0"/>
              <w:jc w:val="left"/>
              <w:rPr/>
            </w:pPr>
            <w:r>
              <w:rPr/>
              <w:t>United States</w:t>
            </w:r>
          </w:p>
        </w:tc>
      </w:tr>
      <w:tr>
        <w:trPr/>
        <w:tc>
          <w:tcPr>
            <w:tcW w:w="1148" w:type="dxa"/>
            <w:tcBorders/>
            <w:vAlign w:val="center"/>
          </w:tcPr>
          <w:p>
            <w:pPr>
              <w:pStyle w:val="TableContents"/>
              <w:bidi w:val="0"/>
              <w:spacing w:before="0" w:after="283"/>
              <w:jc w:val="left"/>
              <w:rPr/>
            </w:pPr>
            <w:r>
              <w:rPr/>
              <w:t>Item 3.</w:t>
            </w:r>
          </w:p>
        </w:tc>
        <w:tc>
          <w:tcPr>
            <w:tcW w:w="9057" w:type="dxa"/>
            <w:tcBorders/>
            <w:vAlign w:val="center"/>
          </w:tcPr>
          <w:p>
            <w:pPr>
              <w:pStyle w:val="TableContents"/>
              <w:bidi w:val="0"/>
              <w:spacing w:before="0" w:after="283"/>
              <w:jc w:val="left"/>
              <w:rPr/>
            </w:pPr>
            <w:r>
              <w:rPr/>
              <w:t>Source and Amount of Funds or Other Consideration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 xml:space="preserve">The Reporting Persons used an aggregate of approximately $1,656,713 to purchase the additional Securities reported as beneficially owned in Item 5 since the most recent filing on Schedule 13D. GAMCO and Gabelli Funds used approximately $650,942 and $568,360, respectively, of funds that were provided through the accounts of certain of their investment advisory clients (and, in the case of some of such accounts at GAMCO, may be through borrowings from client margin accounts) in order to purchase the additional Securities for such clients. GCIA used approximately $437,411 of client funds to purchase the additional Securities reported by it. </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 xml:space="preserve">The Issuer maintains a dual-class capital structure. As of September 30, 2025, the Issuer had 76,869,408 shares of Class A Common Stock outstanding and 11,932,722 shares of Common Voting Stock outstanding. Holders of Class A Common Stock are entitled to elect the greater of three directors or one-third of the directors of the Issuer but are not entitled to vote on any other matters except as required by Ohio law. Holders of Common Voting Stock are entitled to elect the remaining directors and to vote on all other matters submitted to a vote of shareholders. The Reporting Persons beneficially own approximately 4.3 million shares of the Issuer's Class A Common Stock, representing approximately 5.70% of the Issuer's Class A Common Stock. In 2018, GAMCO nominated three individuals for election to the Issuer's Board of Directors. These nominees were not elected at the Issuer's 2018 annual meeting. The Issuer's adjusted closing Class A stock price (accounting for subsequent corporate actions) on the date of the 2018 annual meeting was approximately $9.31. GAMCO, on behalf of its clients, is again evaluating potential actions to assist shareholders in assessing value and reviewing opportunities to enhance shareholder value. Accordingly, in light of the February 4, 2026 deadline for the submission of director nominations, GAMCO is re-examining the individuals it previously nominated. GAMCO is currently evaluating all options available to it but has not made any determination or commitment to proceed with director nominations. No offer or proposal has been made, no negotiations are underway, and no agreement exists between the Reporting Persons and any other person with respect to the Issuer. </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The aggregate number of Securities to which this Schedule 13D relates is 4,383,703 shares, representing 5.70% of the 76,869,408 shares outstanding as reported by the Issuer in its most recently filed Form 10-Q for the quarterly period ended September 30, 2025. The Reporting Persons beneficially own those Securities as follows: GAMCO 2,621,187 shares 3.41%, Gabelli Funds 1,315,016 shares 1.71%, GCIA 217,250 shares 0.28%, GBL 1,600 shares 0.00%, MJG Associates 14,500 shares 0.02%, Mario Gabelli 7,500 shares 0.01%, AC 1,650 shares 0.00% and Teton Advisors 205,000 shares 0.27%.</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50,400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 xml:space="preserve">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GABELLI &amp; COMPANY INVESTMENT ADVISERS, INC. GABELLI ASSOCIATES FUND II 1/28/2026 400 3.3396 1/27/2026 400 3.3695 1/23/2026 650 3.4400 1/21/2026 300 3.3928 1/20/2026 400 3.5195 1/14/2026 1,000 3.6281 1/12/2026 350 3.6400 1/9/2026 500 3.6246 1/7/2026 1,050 3.6660 1/6/2026 5,450 3.8971 GABELLI ASSOCIATES FUND 1/28/2026 1,250 3.3396 1/27/2026 1,200 3.3695 1/23/2026 1,850 3.4400 1/21/2026 900 3.3928 1/20/2026 1,250 3.5195 1/14/2026 3,000 3.6281 1/12/2026 950 3.6400 1/9/2026 1,450 3.6246 1/7/2026 3,250 3.6660 1/6/2026 16,150 3.8971 GABELLI ASSOCIATES LIMITED II E 1/28/2026 750 3.3396 1/27/2026 750 3.3695 1/23/2026 600 3.4400 1/21/2026 550 3.3928 1/20/2026 800 3.5195 1/14/2026 1,900 3.6281 1/12/2026 600 3.6400 1/9/2026 950 3.6246 1/7/2026 2,000 3.6660 1/6/2026 10,250 3.8971 GABELLI ASSOCIATES LIMITED 1/28/2026 2,300 3.3396 1/27/2026 2,100 3.3695 1/23/2026 1,850 3.4400 1/21/2026 1,600 3.3928 1/20/2026 2,350 3.5195 1/14/2026 5,550 3.6281 1/12/2026 1,800 3.6400 1/9/2026 2,750 3.6246 1/7/2026 5,950 3.6660 1/6/2026 30,000 3.8971 GABELLI FUNDS, LLC COMSTOCK CAPITAL VALUE FUND 1/23/2026 500 3.4400 1/14/2026 500 3.6281 1/7/2026 500 3.6660 1/6/2026 500 3.8971 GABELLI MERCHANT PARTNERS PLC 1/28/2026 350 3.3396 1/27/2026 350 3.3695 1/23/2026 500 3.4400 1/21/2026 250 3.3928 1/20/2026 350 3.5195 1/14/2026 850 3.6281 1/12/2026 250 3.6400 1/9/2026 450 3.6246 1/7/2026 850 3.6660 1/6/2026 4,550 3.8971 GAMCO MERGER ARBITRAGE UCITS 1/28/2026 4,950 3.3396 1/27/2026 5,200 3.3695 1/23/2026 9,050 3.4400 1/21/2026 3,118 3.3928 1/20/2026 4,850 3.5195 1/14/2026 11,966 3.6281 1/12/2026 6,050 3.6400 1/9/2026 6,386 3.6246 1/7/2026 11,400 3.6660 1/6/2026 57,100 3.8971 GDL FUND 1/9/2026 10,000 3.6398 1/6/2026 2,675 3.9600 GABELLI MULTIMEDIA TRUST 1/9/2026 5,000 3.6600 GABELLI GLOBAL RISING INCOME AND DIVIDEND FUND 1/22/2026 5,000 3.4800 GAMCO ASSET MANAGEMENT INC. 1/30/2026 8,000 3.4147 1/29/2026 500 3.3470 1/29/2026 10,000 3.3800 1/28/2026 40,000 3.4587 1/23/2026 15,000 3.4200 1/23/2026 6,000 3.4365 1/23/2026 2,000 3.4400 1/21/2026 -4,000 3.3903 1/12/2026 9,196 3.6200 1/9/2026 804 3.6200 1/8/2026 12,000 3.6433 1/7/2026 10,000 3.7500 1/7/2026 42,048 3.8074 1/6/2026 8,000 3.8759 1/6/2026 1,000 3.8775 1/6/2026 5,000 3.8800 1/6/2026 13,500 3.9087 </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The investment advisory clients of, or partnerships managed by, GAMCO, Gabelli Funds, Teton Advisors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GAMCO INVESTORS, INC. ET AL</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3"/>
        <w:gridCol w:w="4162"/>
      </w:tblGrid>
      <w:tr>
        <w:trPr/>
        <w:tc>
          <w:tcPr>
            <w:tcW w:w="60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PETER D. GOLDSTEIN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LEGAL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GABELLI FUNDS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GAMCO Asset Management Inc.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281" w:type="dxa"/>
              <w:jc w:val="left"/>
              <w:tblInd w:w="0" w:type="dxa"/>
              <w:tblLayout w:type="fixed"/>
              <w:tblCellMar>
                <w:top w:w="28" w:type="dxa"/>
                <w:left w:w="28" w:type="dxa"/>
                <w:bottom w:w="28" w:type="dxa"/>
                <w:right w:w="28" w:type="dxa"/>
              </w:tblCellMar>
            </w:tblPr>
            <w:tblGrid>
              <w:gridCol w:w="5281"/>
            </w:tblGrid>
            <w:tr>
              <w:trPr/>
              <w:tc>
                <w:tcPr>
                  <w:tcW w:w="5281" w:type="dxa"/>
                  <w:tcBorders/>
                  <w:vAlign w:val="center"/>
                </w:tcPr>
                <w:p>
                  <w:pPr>
                    <w:pStyle w:val="TableContents"/>
                    <w:bidi w:val="0"/>
                    <w:spacing w:before="0" w:after="0"/>
                    <w:jc w:val="left"/>
                    <w:rPr/>
                  </w:pPr>
                  <w:r>
                    <w:rPr/>
                    <w:t>GABELLI &amp; Co INVESTMENT ADVISERS, INC.</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MJG ASSOCIATES, INC.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Teton Advisors,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1"/>
        <w:gridCol w:w="4214"/>
      </w:tblGrid>
      <w:tr>
        <w:trPr/>
        <w:tc>
          <w:tcPr>
            <w:tcW w:w="59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DAVID GOLDMAN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COUNSEL</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214"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GGCP, INC.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Associated Capital Group,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3"/>
        <w:gridCol w:w="4162"/>
      </w:tblGrid>
      <w:tr>
        <w:trPr/>
        <w:tc>
          <w:tcPr>
            <w:tcW w:w="60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PETER D. GOLDSTEIN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LEGAL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GABELLI MARIO J</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02/02/2026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3999</Words>
  <Characters>21611</Characters>
  <CharactersWithSpaces>25377</CharactersWithSpaces>
  <Paragraphs>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