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29, 2025</w:t>
      </w:r>
    </w:p>
    <w:p>
      <w:pPr>
        <w:spacing w:after="0" w:line="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THE E.W. SCRIPPS COMPANY</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40"/>
          </w:cols>
          <w:pgMar w:left="320" w:top="1037" w:right="4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Ohio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001-10701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31-1223339</w:t>
      </w:r>
    </w:p>
    <w:p>
      <w:pPr>
        <w:spacing w:after="0" w:line="12" w:lineRule="exact"/>
        <w:rPr>
          <w:sz w:val="24"/>
          <w:szCs w:val="24"/>
          <w:color w:val="auto"/>
        </w:rPr>
      </w:pPr>
    </w:p>
    <w:p>
      <w:pPr>
        <w:sectPr>
          <w:pgSz w:w="11900" w:h="16838" w:orient="portrait"/>
          <w:cols w:equalWidth="0" w:num="3">
            <w:col w:w="4500" w:space="720"/>
            <w:col w:w="3060" w:space="720"/>
            <w:col w:w="2140"/>
          </w:cols>
          <w:pgMar w:left="320" w:top="1037" w:right="439" w:bottom="1440" w:gutter="0" w:footer="0" w:header="0"/>
          <w:type w:val="continuous"/>
        </w:sect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800" w:space="720"/>
            <w:col w:w="2420"/>
          </w:cols>
          <w:pgMar w:left="320" w:top="1037" w:right="439" w:bottom="1440" w:gutter="0" w:footer="0" w:header="0"/>
          <w:type w:val="continuous"/>
        </w:sectPr>
      </w:pPr>
    </w:p>
    <w:p>
      <w:pPr>
        <w:spacing w:after="0" w:line="21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312 Walnut Street</w:t>
      </w:r>
    </w:p>
    <w:p>
      <w:pPr>
        <w:spacing w:after="0" w:line="4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Cincinnati,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45202</w:t>
      </w:r>
    </w:p>
    <w:p>
      <w:pPr>
        <w:spacing w:after="0" w:line="31" w:lineRule="exact"/>
        <w:rPr>
          <w:sz w:val="24"/>
          <w:szCs w:val="24"/>
          <w:color w:val="auto"/>
        </w:rPr>
      </w:pPr>
    </w:p>
    <w:p>
      <w:pPr>
        <w:sectPr>
          <w:pgSz w:w="11900" w:h="16838" w:orient="portrait"/>
          <w:cols w:equalWidth="0" w:num="2">
            <w:col w:w="7840" w:space="720"/>
            <w:col w:w="2580"/>
          </w:cols>
          <w:pgMar w:left="320" w:top="1037" w:right="4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740" w:space="720"/>
            <w:col w:w="2680"/>
          </w:cols>
          <w:pgMar w:left="320" w:top="1037"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977-3000</w:t>
      </w:r>
    </w:p>
    <w:p>
      <w:pPr>
        <w:spacing w:after="0" w:line="1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381"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420" w:firstLine="26"/>
        <w:spacing w:after="0" w:line="373"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1037" w:right="439" w:bottom="1440" w:gutter="0" w:footer="0" w:header="0"/>
          <w:type w:val="continuous"/>
        </w:sectPr>
      </w:pPr>
    </w:p>
    <w:p>
      <w:pPr>
        <w:spacing w:after="0" w:line="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00" w:space="720"/>
            <w:col w:w="1600" w:space="720"/>
            <w:col w:w="3900"/>
          </w:cols>
          <w:pgMar w:left="320" w:top="1037" w:right="4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SSP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760" w:space="720"/>
            <w:col w:w="1540" w:space="720"/>
            <w:col w:w="3400"/>
          </w:cols>
          <w:pgMar w:left="320" w:top="1037" w:right="439" w:bottom="1440" w:gutter="0" w:footer="0" w:header="0"/>
          <w:type w:val="continuous"/>
        </w:sectPr>
      </w:pPr>
    </w:p>
    <w:p>
      <w:pPr>
        <w:spacing w:after="0" w:line="14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7"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620" w:type="dxa"/>
            <w:vAlign w:val="bottom"/>
            <w:gridSpan w:val="2"/>
          </w:tcPr>
          <w:p>
            <w:pPr>
              <w:jc w:val="center"/>
              <w:ind w:right="3508"/>
              <w:spacing w:after="0"/>
              <w:rPr>
                <w:sz w:val="20"/>
                <w:szCs w:val="20"/>
                <w:color w:val="auto"/>
              </w:rPr>
            </w:pPr>
            <w:r>
              <w:rPr>
                <w:rFonts w:ascii="Times New Roman" w:cs="Times New Roman" w:eastAsia="Times New Roman" w:hAnsi="Times New Roman"/>
                <w:sz w:val="18"/>
                <w:szCs w:val="18"/>
                <w:b w:val="1"/>
                <w:bCs w:val="1"/>
                <w:color w:val="auto"/>
                <w:w w:val="98"/>
              </w:rPr>
              <w:t>THE E.W. SCRIPPS COMPANY</w:t>
            </w:r>
          </w:p>
        </w:tc>
      </w:tr>
      <w:tr>
        <w:trPr>
          <w:trHeight w:val="378"/>
        </w:trPr>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20" w:type="dxa"/>
            <w:vAlign w:val="bottom"/>
            <w:gridSpan w:val="2"/>
          </w:tcPr>
          <w:p>
            <w:pPr>
              <w:jc w:val="center"/>
              <w:ind w:right="3508"/>
              <w:spacing w:after="0"/>
              <w:rPr>
                <w:sz w:val="20"/>
                <w:szCs w:val="20"/>
                <w:color w:val="auto"/>
              </w:rPr>
            </w:pPr>
            <w:r>
              <w:rPr>
                <w:rFonts w:ascii="Times New Roman" w:cs="Times New Roman" w:eastAsia="Times New Roman" w:hAnsi="Times New Roman"/>
                <w:sz w:val="18"/>
                <w:szCs w:val="18"/>
                <w:b w:val="1"/>
                <w:bCs w:val="1"/>
                <w:color w:val="auto"/>
                <w:w w:val="99"/>
              </w:rPr>
              <w:t>INDEX TO CURRENT REPORT ON FORM 8-K</w:t>
            </w:r>
          </w:p>
        </w:tc>
      </w:tr>
      <w:tr>
        <w:trPr>
          <w:trHeight w:val="489"/>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Item No.</w:t>
            </w:r>
          </w:p>
        </w:tc>
        <w:tc>
          <w:tcPr>
            <w:tcW w:w="25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1040" w:type="dxa"/>
            <w:vAlign w:val="bottom"/>
            <w:tcBorders>
              <w:bottom w:val="single" w:sz="8" w:color="auto"/>
            </w:tcBorders>
          </w:tcPr>
          <w:p>
            <w:pPr>
              <w:spacing w:after="0"/>
              <w:rPr>
                <w:sz w:val="2"/>
                <w:szCs w:val="2"/>
                <w:color w:val="auto"/>
              </w:rPr>
            </w:pPr>
          </w:p>
        </w:tc>
        <w:tc>
          <w:tcPr>
            <w:tcW w:w="25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0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8.01</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Events</w:t>
            </w:r>
          </w:p>
        </w:tc>
        <w:tc>
          <w:tcPr>
            <w:tcW w:w="7620" w:type="dxa"/>
            <w:vAlign w:val="bottom"/>
            <w:gridSpan w:val="2"/>
          </w:tcPr>
          <w:p>
            <w:pPr>
              <w:jc w:val="center"/>
              <w:ind w:left="6230"/>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9.01</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7620" w:type="dxa"/>
            <w:vAlign w:val="bottom"/>
            <w:gridSpan w:val="2"/>
          </w:tcPr>
          <w:p>
            <w:pPr>
              <w:jc w:val="center"/>
              <w:ind w:left="623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July 29, 2025, the E.W. Scripps Company (the “Company”) issued a press release announcing the pricing of its previously announced offering of $750 million aggregate principal amount of new 9.875% senior secured second lien notes, which represents a $100 million increase from the previously announced size of the offering. The notes will mature in 2030. The offering is expected to close on August 6, 2025, subject to customary closing conditions.</w:t>
      </w:r>
    </w:p>
    <w:p>
      <w:pPr>
        <w:spacing w:after="0" w:line="207"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private offering is exempt from the registration requirements of the Securities Act of 1933, as amended (the “Securities Act”). A copy of the press release is attached hereto as Exhibit 99.1.</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Current Report does not constitute an offer to sell or the solicitation of an offer to buy the notes and related guarantees and shall not constitute an offer, solicitation or sale of any securities in any jurisdiction in which such offer solicitation or sale would be unlawful. This Current Report is being issued pursuant to and in accordance with Rule 135c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5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the safe harbor provisions of the U.S. Private Securities Litigation Reform Act of 1995. Forward-looking statements can be identified by words such as: “believe,” “anticipate,” “intend,” “expect,” “estimate,” “could,” “should,” “outlook,” “guidance,” and similar references to future periods. Examples of forward-looking statements include, among others, statements the Company makes regarding expected operating results and future financial 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The Company’s actual results and financial condition may differ materially from those indicated in the forward-looking statements. Therefore, you should not rely on any of these forward-looking statements. Important factors that could cause the Company’s actual results and financial condition to differ materially from those indicated in the forward-looking statements include, among others, the following: change in advertising demand, fragmentation of audiences, loss of affiliation agreements, loss of distribution revenue, increase in programming costs, changes in law and regulation, the Company’s ability to identify and consummate strategic transactions, the controlled ownership structure of the Company, and the Company’s ability to manage its outstanding debt obligations. A detailed discussion of such risks and uncertainties is included in the Company’s Form 10-K, on file with the SEC, in the section titled “Risk Factors.” Any forward-looking statement made in this current report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 of Item</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July 29, 2025</w:t>
      </w:r>
    </w:p>
    <w:p>
      <w:pPr>
        <w:spacing w:after="0" w:line="77" w:lineRule="exact"/>
        <w:rPr>
          <w:sz w:val="20"/>
          <w:szCs w:val="20"/>
          <w:color w:val="auto"/>
        </w:rPr>
      </w:pPr>
    </w:p>
    <w:p>
      <w:pPr>
        <w:ind w:left="1200" w:hanging="807"/>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E.W. SCRIPPS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 Perschke</w:t>
            </w:r>
          </w:p>
        </w:tc>
      </w:tr>
      <w:tr>
        <w:trPr>
          <w:trHeight w:val="245"/>
        </w:trPr>
        <w:tc>
          <w:tcPr>
            <w:tcW w:w="1320" w:type="dxa"/>
            <w:vAlign w:val="bottom"/>
          </w:tcPr>
          <w:p>
            <w:pPr>
              <w:spacing w:after="0"/>
              <w:rPr>
                <w:sz w:val="21"/>
                <w:szCs w:val="21"/>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W. Perschke</w:t>
            </w:r>
          </w:p>
        </w:tc>
        <w:tc>
          <w:tcPr>
            <w:tcW w:w="760" w:type="dxa"/>
            <w:vAlign w:val="bottom"/>
          </w:tcPr>
          <w:p>
            <w:pPr>
              <w:spacing w:after="0"/>
              <w:rPr>
                <w:sz w:val="21"/>
                <w:szCs w:val="21"/>
                <w:color w:val="auto"/>
              </w:rPr>
            </w:pPr>
          </w:p>
        </w:tc>
      </w:tr>
      <w:tr>
        <w:trPr>
          <w:trHeight w:val="229"/>
        </w:trPr>
        <w:tc>
          <w:tcPr>
            <w:tcW w:w="13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Controller</w:t>
            </w:r>
          </w:p>
        </w:tc>
      </w:tr>
      <w:tr>
        <w:trPr>
          <w:trHeight w:val="234"/>
        </w:trPr>
        <w:tc>
          <w:tcPr>
            <w:tcW w:w="13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2025</w:t>
      </w:r>
    </w:p>
    <w:p>
      <w:pPr>
        <w:spacing w:after="0" w:line="200" w:lineRule="exact"/>
        <w:rPr>
          <w:sz w:val="20"/>
          <w:szCs w:val="20"/>
          <w:color w:val="auto"/>
        </w:rPr>
      </w:pP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320" w:top="88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3291840" cy="1371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184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Scripps announces upsize and prices senior notes offering</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July 29, 2025</w:t>
      </w:r>
    </w:p>
    <w:p>
      <w:pPr>
        <w:spacing w:after="0" w:line="349"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 xml:space="preserve">CINCINNATI - </w:t>
      </w:r>
      <w:r>
        <w:rPr>
          <w:rFonts w:ascii="Arial" w:cs="Arial" w:eastAsia="Arial" w:hAnsi="Arial"/>
          <w:sz w:val="20"/>
          <w:szCs w:val="20"/>
          <w:color w:val="auto"/>
        </w:rPr>
        <w:t>The E.W. Scripps Company (NASDAQ: SSP) has priced an offering of $750 million aggregate principal amount of</w:t>
      </w:r>
      <w:r>
        <w:rPr>
          <w:rFonts w:ascii="Arial" w:cs="Arial" w:eastAsia="Arial" w:hAnsi="Arial"/>
          <w:sz w:val="20"/>
          <w:szCs w:val="20"/>
          <w:b w:val="1"/>
          <w:bCs w:val="1"/>
          <w:color w:val="auto"/>
        </w:rPr>
        <w:t xml:space="preserve"> </w:t>
      </w:r>
      <w:r>
        <w:rPr>
          <w:rFonts w:ascii="Arial" w:cs="Arial" w:eastAsia="Arial" w:hAnsi="Arial"/>
          <w:sz w:val="20"/>
          <w:szCs w:val="20"/>
          <w:color w:val="auto"/>
        </w:rPr>
        <w:t>new 9.875% senior secured second lien notes, which represents a $100 million increase from the previously announced size of the offering.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 notes will mature in 2030. The offering is expected to close on August 6, 2025, subject to customary closing conditions.</w:t>
      </w:r>
    </w:p>
    <w:p>
      <w:pPr>
        <w:spacing w:after="0" w:line="22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private offering is exempt from the registration requirements of the Securities Act of 1933, as amended. The notes will be guaranteed by certain of the company’s existing and future subsidiaries and will be secured on a second-lien basis by substantially all of the existing and future assets of the company and the guarantors, subject to customary exceptions, and guaranteed by each of the subsidiaries that also provide guarantees of the company’s credit facilities.</w:t>
      </w:r>
    </w:p>
    <w:p>
      <w:pPr>
        <w:spacing w:after="0" w:line="203"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Scripps intends to use the net proceeds of this offering to (i) redeem all of the company’s outstanding 5.875% senior notes due 2027, (ii) pre-pay a portion of the outstanding borrowings under the company’s term loan B-2 facility due in 2028, (iii) repay a portion of the outstanding borrowings under the company’s revolving credit facilities and (iv) pay the fees and expenses relating to this transaction.</w:t>
      </w:r>
    </w:p>
    <w:p>
      <w:pPr>
        <w:spacing w:after="0" w:line="208"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The notes and related guarantees have not been, and will not be, registered under the Securities Act or the securities laws of any other jurisdiction and may not be offered or sold in the United States absent registration or an applicable exemption. The notes are being offered only to persons reasonably believed to be qualified institutional buyers under Rule 144A of the Securities Act or, outside the United States, to persons other than “U.S. persons” in compliance with Regulation S under the Securities Act.</w:t>
      </w:r>
    </w:p>
    <w:p>
      <w:pPr>
        <w:spacing w:after="0" w:line="207" w:lineRule="exact"/>
        <w:rPr>
          <w:sz w:val="20"/>
          <w:szCs w:val="20"/>
          <w:color w:val="auto"/>
        </w:rPr>
      </w:pPr>
    </w:p>
    <w:p>
      <w:pPr>
        <w:jc w:val="both"/>
        <w:ind w:right="180"/>
        <w:spacing w:after="0" w:line="268" w:lineRule="auto"/>
        <w:rPr>
          <w:sz w:val="20"/>
          <w:szCs w:val="20"/>
          <w:color w:val="auto"/>
        </w:rPr>
      </w:pPr>
      <w:r>
        <w:rPr>
          <w:rFonts w:ascii="Arial" w:cs="Arial" w:eastAsia="Arial" w:hAnsi="Arial"/>
          <w:sz w:val="19"/>
          <w:szCs w:val="19"/>
          <w:color w:val="auto"/>
        </w:rPr>
        <w:t>This press release does not constitute an offer to sell or the solicitation of an offer to buy the notes and related guarantees and shall not constitute an offer, solicitation or sale of any securities in any jurisdiction in which such offer solicitation or sale would be unlawful. This press release is being issued pursuant to and in accordance with Rule 135c under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This press release contains “forward-looking statements” within the meaning of the safe harbor provisions of the U.S. Private Securities Litigation Reform Act of 1995. Forward-looking statements can be identified by words such as: “believe,” “anticipate,” “intend,” “expect,” “estimate,” “could,” “should,” “outlook,” “guidance,” and similar references to future periods. Examples of forward-looking statements include, among others, statements the company makes regarding expected operating results and future financial</w:t>
      </w:r>
    </w:p>
    <w:p>
      <w:pPr>
        <w:sectPr>
          <w:pgSz w:w="11900" w:h="16838" w:orient="portrait"/>
          <w:cols w:equalWidth="0" w:num="1">
            <w:col w:w="11240"/>
          </w:cols>
          <w:pgMar w:left="320" w:top="887" w:right="339" w:bottom="1440" w:gutter="0" w:footer="0" w:header="0"/>
        </w:sectPr>
      </w:pPr>
    </w:p>
    <w:bookmarkStart w:id="5" w:name="page6"/>
    <w:bookmarkEnd w:id="5"/>
    <w:p>
      <w:pPr>
        <w:spacing w:after="0" w:line="253" w:lineRule="auto"/>
        <w:rPr>
          <w:sz w:val="20"/>
          <w:szCs w:val="20"/>
          <w:color w:val="auto"/>
        </w:rPr>
      </w:pPr>
      <w:r>
        <w:rPr>
          <w:rFonts w:ascii="Arial" w:cs="Arial" w:eastAsia="Arial" w:hAnsi="Arial"/>
          <w:sz w:val="19"/>
          <w:szCs w:val="19"/>
          <w:color w:val="auto"/>
        </w:rPr>
        <w:t>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The company’s actual results and financial condition may differ materially from those indicated in the forward-looking statements. Therefore, you should not rely on any of these forward-looking statements. Important factors that could cause the company’s actual results and financial condition to differ materially from those indicated in the forward-looking statements include, among others, the following: change in advertising demand, fragmentation of audiences, loss of affiliation agreements, loss of distribution revenue, increase in programming costs, changes in law and regulation, the company’s ability to identify and consummate strategic transactions, the controlled ownership structure of the company, and the company’s ability to manage its outstanding debt obligations. A detailed discussion of such risks and uncertainties is included in the company’s Form 10-K, on file with the SEC, in the section titled “Risk Factors.” Any forward-looking statement made in this press release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Scripps</w:t>
      </w:r>
    </w:p>
    <w:p>
      <w:pPr>
        <w:spacing w:after="0" w:line="20"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The E.W. Scripps Company (NASDAQ: SSP) is a diversified media company focused on creating connection. As one of the nation’s largest local TV broadcasters, Scripps serves communities with quality, objective local journalism and operates a portfolio of more than 60 stations in 40+ markets. Scripps reaches households across the U.S. with national news outlets Scripps News and Court TV and popular entertainment brands ION, Bounce, Grit, ION Mystery, ION Plus and Laff. Scripps is the nation’s largest holder of broadcast spectrum. Scripps Sports serves professional and college sports leagues, conferences and teams with local market depth and national broadcast reach of up to 100% of TV households. Founded in 1878, Scripps is the steward of the Scripps National Spelling Bee, and its longtime motto is: “Give light and the people will find their own way.”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Media contact</w:t>
      </w:r>
      <w:r>
        <w:rPr>
          <w:rFonts w:ascii="Arial" w:cs="Arial" w:eastAsia="Arial" w:hAnsi="Arial"/>
          <w:sz w:val="20"/>
          <w:szCs w:val="20"/>
          <w:i w:val="1"/>
          <w:iCs w:val="1"/>
          <w:color w:val="auto"/>
        </w:rPr>
        <w:t>: Becca McCarter, The E.W. Scripps Company, (513) 410-2425, rebecca.mccarter@scripps.com</w:t>
      </w:r>
    </w:p>
    <w:p>
      <w:pPr>
        <w:spacing w:after="0"/>
        <w:rPr>
          <w:sz w:val="20"/>
          <w:szCs w:val="20"/>
          <w:color w:val="auto"/>
        </w:rPr>
      </w:pPr>
      <w:r>
        <w:rPr>
          <w:rFonts w:ascii="Arial" w:cs="Arial" w:eastAsia="Arial" w:hAnsi="Arial"/>
          <w:sz w:val="20"/>
          <w:szCs w:val="20"/>
          <w:b w:val="1"/>
          <w:bCs w:val="1"/>
          <w:i w:val="1"/>
          <w:iCs w:val="1"/>
          <w:color w:val="auto"/>
        </w:rPr>
        <w:t>Investor contact</w:t>
      </w:r>
      <w:r>
        <w:rPr>
          <w:rFonts w:ascii="Arial" w:cs="Arial" w:eastAsia="Arial" w:hAnsi="Arial"/>
          <w:sz w:val="20"/>
          <w:szCs w:val="20"/>
          <w:i w:val="1"/>
          <w:iCs w:val="1"/>
          <w:color w:val="auto"/>
        </w:rPr>
        <w:t>: Carolyn Micheli, The E.W. Scripps Company, (513) 977-3732, carolyn.micheli@scripps.com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2025-07-30T07:31:26Z</dcterms:created>
  <dcterms:modified xsi:type="dcterms:W3CDTF">2025-07-30T07:31:26Z</dcterms:modified>
</cp:coreProperties>
</file>