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The E.W. Scripps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811054402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Narinder K. Sahai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Sinclair, Inc., 10706 Beaver Dam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Hunt Valley, MD, 21030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410-568-1500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811054402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Sinclair,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7,625,401.00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7,625,401.00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7,625,401.00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The percent of class beneficially owned by the Reporting Person was calculated based on 76,869,408 shares of</w:t>
      </w:r>
    </w:p>
    <w:tbl>
      <w:tblPr>
        <w:tblLayout w:type="fixed"/>
        <w:tblInd w:w="0" w:type="dxa"/>
        <w:tblCellMar>
          <w:top w:w="0" w:type="dxa"/>
          <w:left w:w="0" w:type="dxa"/>
          <w:bottom w:w="0" w:type="dxa"/>
          <w:right w:w="0" w:type="dxa"/>
        </w:tblCellMar>
      </w:tblPr>
      <w:tr>
        <w:trPr>
          <w:trHeight w:val="210"/>
        </w:trPr>
        <w:tc>
          <w:tcPr>
            <w:tcW w:w="108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60" w:type="dxa"/>
            <w:vAlign w:val="bottom"/>
          </w:tcPr>
          <w:p>
            <w:pPr>
              <w:ind w:left="220"/>
              <w:spacing w:after="0" w:line="210" w:lineRule="exact"/>
              <w:rPr>
                <w:sz w:val="20"/>
                <w:szCs w:val="20"/>
                <w:color w:val="auto"/>
              </w:rPr>
            </w:pPr>
            <w:r>
              <w:rPr>
                <w:rFonts w:ascii="Times New Roman" w:cs="Times New Roman" w:eastAsia="Times New Roman" w:hAnsi="Times New Roman"/>
                <w:sz w:val="22"/>
                <w:szCs w:val="22"/>
                <w:color w:val="auto"/>
              </w:rPr>
              <w:t>Class A Common Stock, par value $0.01 per share, outstanding as of September 30, 2025, as disclosed in the</w:t>
            </w: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6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Issuer's Form 10-Q filed with the Securities and Exchange Commission on November 7, 2025.</w:t>
            </w:r>
          </w:p>
        </w:tc>
      </w:tr>
      <w:tr>
        <w:trPr>
          <w:trHeight w:val="257"/>
        </w:trPr>
        <w:tc>
          <w:tcPr>
            <w:tcW w:w="1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E.W. Scripps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312 WALNUT STREET, CINCINNATI, OHIO , 45202.</w:t>
      </w:r>
    </w:p>
    <w:p>
      <w:pPr>
        <w:spacing w:after="0" w:line="20"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("Amendment No. 3") further amends and supplements the Schedule 13D initially filed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November 17, 2025, as amended by Amendment No. 1 filed on November 19, 2025, and by Amendment No. 2 filed</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on November 24, 2025.</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jc w:val="both"/>
        <w:ind w:left="960" w:right="100"/>
        <w:spacing w:after="0" w:line="261" w:lineRule="auto"/>
        <w:rPr>
          <w:sz w:val="20"/>
          <w:szCs w:val="20"/>
          <w:color w:val="auto"/>
        </w:rPr>
      </w:pPr>
      <w:r>
        <w:rPr>
          <w:rFonts w:ascii="Times New Roman" w:cs="Times New Roman" w:eastAsia="Times New Roman" w:hAnsi="Times New Roman"/>
          <w:sz w:val="21"/>
          <w:szCs w:val="21"/>
          <w:color w:val="auto"/>
        </w:rPr>
        <w:t>Item 4 is amended to include the following: Sinclair, Inc. (the "Reporting Person") notes that, on November 26, 2025, The E.W. Scripps Company (the "Issuer") announced the adoption of a shareholder rights plan, commonly known as a "poison pill". The Reporting Person believes that the strategic and financial rationale of a potential business</w:t>
      </w:r>
    </w:p>
    <w:p>
      <w:pPr>
        <w:sectPr>
          <w:pgSz w:w="11900" w:h="16838" w:orient="portrait"/>
          <w:cols w:equalWidth="0" w:num="1">
            <w:col w:w="11240"/>
          </w:cols>
          <w:pgMar w:left="320" w:top="126" w:right="339" w:bottom="0" w:gutter="0" w:footer="0" w:header="0"/>
        </w:sectPr>
      </w:pPr>
    </w:p>
    <w:bookmarkStart w:id="2" w:name="page3"/>
    <w:bookmarkEnd w:id="2"/>
    <w:p>
      <w:pPr>
        <w:ind w:left="700" w:right="20"/>
        <w:spacing w:after="0" w:line="238" w:lineRule="auto"/>
        <w:rPr>
          <w:sz w:val="20"/>
          <w:szCs w:val="20"/>
          <w:color w:val="auto"/>
        </w:rPr>
      </w:pPr>
      <w:r>
        <w:rPr>
          <w:rFonts w:ascii="Times New Roman" w:cs="Times New Roman" w:eastAsia="Times New Roman" w:hAnsi="Times New Roman"/>
          <w:sz w:val="22"/>
          <w:szCs w:val="22"/>
          <w:color w:val="auto"/>
        </w:rPr>
        <w:t>combination with the Issuer is indisputable. Given the family control of the Issuer, the only effect of adopting a poison pill is to limit liquidity opportunities available for public shareholders of the Issuer. As requested by the Issuer, the Reporting Person submitted a proposal building upon prior constructive discussions between the parties. The Reporting Person intends to continue to engage with the Issuer in an effort to reach a mutually agreeable transaction that will deliver significant benefits to the Issuer's shareholders and local communities.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Sinclair,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Narinder K. Sahai</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Narinder K. Sahai/Chief Financial Officer</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11/26/2025</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3"/>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2025-11-26T13:56:42Z</dcterms:created>
  <dcterms:modified xsi:type="dcterms:W3CDTF">2025-11-26T13:56:42Z</dcterms:modified>
</cp:coreProperties>
</file>