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216535</wp:posOffset>
            </wp:positionH>
            <wp:positionV relativeFrom="page">
              <wp:posOffset>706120</wp:posOffset>
            </wp:positionV>
            <wp:extent cx="71151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890"/>
                    </a:xfrm>
                    <a:prstGeom prst="rect">
                      <a:avLst/>
                    </a:prstGeom>
                    <a:noFill/>
                  </pic:spPr>
                </pic:pic>
              </a:graphicData>
            </a:graphic>
          </wp:anchor>
        </w:drawing>
        <w:drawing>
          <wp:anchor simplePos="0" relativeHeight="251657728" behindDoc="1" locked="0" layoutInCell="0" allowOverlap="1">
            <wp:simplePos x="0" y="0"/>
            <wp:positionH relativeFrom="page">
              <wp:posOffset>216535</wp:posOffset>
            </wp:positionH>
            <wp:positionV relativeFrom="page">
              <wp:posOffset>662940</wp:posOffset>
            </wp:positionV>
            <wp:extent cx="711517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17145"/>
                    </a:xfrm>
                    <a:prstGeom prst="rect">
                      <a:avLst/>
                    </a:prstGeom>
                    <a:noFill/>
                  </pic:spPr>
                </pic:pic>
              </a:graphicData>
            </a:graphic>
          </wp:anchor>
        </w:drawing>
        <w:t>UNITED STATES</w:t>
      </w:r>
    </w:p>
    <w:p>
      <w:pPr>
        <w:spacing w:after="0" w:line="32"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ind w:right="-59"/>
        <w:spacing w:after="0" w:line="237" w:lineRule="auto"/>
        <w:rPr>
          <w:sz w:val="20"/>
          <w:szCs w:val="20"/>
          <w:color w:val="auto"/>
        </w:rPr>
      </w:pPr>
      <w:r>
        <w:rPr>
          <w:rFonts w:ascii="Times New Roman" w:cs="Times New Roman" w:eastAsia="Times New Roman" w:hAnsi="Times New Roman"/>
          <w:sz w:val="22"/>
          <w:szCs w:val="22"/>
          <w:b w:val="1"/>
          <w:bCs w:val="1"/>
          <w:color w:val="auto"/>
        </w:rPr>
        <w:t>Washington, D.C. 20549</w:t>
      </w:r>
    </w:p>
    <w:p>
      <w:pPr>
        <w:jc w:val="center"/>
        <w:ind w:right="-79"/>
        <w:spacing w:after="0"/>
        <w:rPr>
          <w:sz w:val="20"/>
          <w:szCs w:val="20"/>
          <w:color w:val="auto"/>
        </w:rPr>
      </w:pPr>
      <w:r>
        <w:rPr>
          <w:rFonts w:ascii="Times New Roman" w:cs="Times New Roman" w:eastAsia="Times New Roman" w:hAnsi="Times New Roman"/>
          <w:sz w:val="29"/>
          <w:szCs w:val="29"/>
          <w:b w:val="1"/>
          <w:bCs w:val="1"/>
          <w:color w:val="auto"/>
        </w:rPr>
        <w:t>FORM 10-Q</w:t>
      </w:r>
    </w:p>
    <w:p>
      <w:pPr>
        <w:spacing w:after="0" w:line="117" w:lineRule="exact"/>
        <w:rPr>
          <w:sz w:val="24"/>
          <w:szCs w:val="24"/>
          <w:color w:val="auto"/>
        </w:rPr>
      </w:pPr>
    </w:p>
    <w:p>
      <w:pPr>
        <w:ind w:left="1560" w:hanging="1174"/>
        <w:spacing w:after="0"/>
        <w:tabs>
          <w:tab w:leader="none" w:pos="15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w:t>
      </w:r>
    </w:p>
    <w:p>
      <w:pPr>
        <w:spacing w:after="0" w:line="104"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For the quarterly period ended June 30, 2025</w:t>
      </w:r>
    </w:p>
    <w:p>
      <w:pPr>
        <w:spacing w:after="0" w:line="63"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98" w:lineRule="exact"/>
        <w:rPr>
          <w:sz w:val="24"/>
          <w:szCs w:val="24"/>
          <w:color w:val="auto"/>
        </w:rPr>
      </w:pPr>
    </w:p>
    <w:p>
      <w:pPr>
        <w:ind w:left="1680" w:hanging="1247"/>
        <w:spacing w:after="0"/>
        <w:tabs>
          <w:tab w:leader="none" w:pos="1680" w:val="left"/>
        </w:tabs>
        <w:numPr>
          <w:ilvl w:val="0"/>
          <w:numId w:val="2"/>
        </w:numPr>
        <w:rPr>
          <w:rFonts w:ascii="MS PGothic" w:cs="MS PGothic" w:eastAsia="MS PGothic" w:hAnsi="MS PGothic"/>
          <w:sz w:val="17"/>
          <w:szCs w:val="17"/>
          <w:color w:val="auto"/>
        </w:rPr>
      </w:pPr>
      <w:r>
        <w:rPr>
          <w:rFonts w:ascii="Times New Roman" w:cs="Times New Roman" w:eastAsia="Times New Roman" w:hAnsi="Times New Roman"/>
          <w:sz w:val="17"/>
          <w:szCs w:val="17"/>
          <w:b w:val="1"/>
          <w:bCs w:val="1"/>
          <w:color w:val="auto"/>
        </w:rPr>
        <w:t>TRANSITION REPORT PURSUANT TO SECTION 13 OR 15(d) OF THE SECURITIES EXCHANGE ACT OF 1934</w:t>
      </w:r>
    </w:p>
    <w:p>
      <w:pPr>
        <w:spacing w:after="0" w:line="295" w:lineRule="exact"/>
        <w:rPr>
          <w:sz w:val="24"/>
          <w:szCs w:val="24"/>
          <w:color w:val="auto"/>
        </w:rPr>
      </w:pPr>
    </w:p>
    <w:tbl>
      <w:tblPr>
        <w:tblLayout w:type="fixed"/>
        <w:tblInd w:w="1640" w:type="dxa"/>
        <w:tblCellMar>
          <w:top w:w="0" w:type="dxa"/>
          <w:left w:w="0" w:type="dxa"/>
          <w:bottom w:w="0" w:type="dxa"/>
          <w:right w:w="0" w:type="dxa"/>
        </w:tblCellMar>
      </w:tblPr>
      <w:tr>
        <w:trPr>
          <w:trHeight w:val="207"/>
        </w:trPr>
        <w:tc>
          <w:tcPr>
            <w:tcW w:w="2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For the transition period from</w:t>
            </w:r>
          </w:p>
        </w:tc>
        <w:tc>
          <w:tcPr>
            <w:tcW w:w="900" w:type="dxa"/>
            <w:vAlign w:val="bottom"/>
            <w:tcBorders>
              <w:bottom w:val="single" w:sz="8" w:color="auto"/>
            </w:tcBorders>
          </w:tcPr>
          <w:p>
            <w:pPr>
              <w:spacing w:after="0"/>
              <w:rPr>
                <w:sz w:val="17"/>
                <w:szCs w:val="17"/>
                <w:color w:val="auto"/>
              </w:rPr>
            </w:pPr>
          </w:p>
        </w:tc>
        <w:tc>
          <w:tcPr>
            <w:tcW w:w="24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to</w:t>
            </w:r>
          </w:p>
        </w:tc>
        <w:tc>
          <w:tcPr>
            <w:tcW w:w="900" w:type="dxa"/>
            <w:vAlign w:val="bottom"/>
            <w:tcBorders>
              <w:bottom w:val="single" w:sz="8" w:color="auto"/>
            </w:tcBorders>
          </w:tcPr>
          <w:p>
            <w:pPr>
              <w:spacing w:after="0"/>
              <w:rPr>
                <w:sz w:val="17"/>
                <w:szCs w:val="17"/>
                <w:color w:val="auto"/>
              </w:rPr>
            </w:pPr>
          </w:p>
        </w:tc>
        <w:tc>
          <w:tcPr>
            <w:tcW w:w="980" w:type="dxa"/>
            <w:vAlign w:val="bottom"/>
          </w:tcPr>
          <w:p>
            <w:pPr>
              <w:spacing w:after="0"/>
              <w:rPr>
                <w:sz w:val="17"/>
                <w:szCs w:val="17"/>
                <w:color w:val="auto"/>
              </w:rPr>
            </w:pPr>
          </w:p>
        </w:tc>
      </w:tr>
      <w:tr>
        <w:trPr>
          <w:trHeight w:val="385"/>
        </w:trPr>
        <w:tc>
          <w:tcPr>
            <w:tcW w:w="2360" w:type="dxa"/>
            <w:vAlign w:val="bottom"/>
          </w:tcPr>
          <w:p>
            <w:pPr>
              <w:spacing w:after="0"/>
              <w:rPr>
                <w:sz w:val="24"/>
                <w:szCs w:val="24"/>
                <w:color w:val="auto"/>
              </w:rPr>
            </w:pPr>
          </w:p>
        </w:tc>
        <w:tc>
          <w:tcPr>
            <w:tcW w:w="3020" w:type="dxa"/>
            <w:vAlign w:val="bottom"/>
            <w:gridSpan w:val="4"/>
          </w:tcPr>
          <w:p>
            <w:pPr>
              <w:ind w:left="220"/>
              <w:spacing w:after="0"/>
              <w:rPr>
                <w:sz w:val="20"/>
                <w:szCs w:val="20"/>
                <w:color w:val="auto"/>
              </w:rPr>
            </w:pPr>
            <w:r>
              <w:rPr>
                <w:rFonts w:ascii="Times New Roman" w:cs="Times New Roman" w:eastAsia="Times New Roman" w:hAnsi="Times New Roman"/>
                <w:sz w:val="18"/>
                <w:szCs w:val="18"/>
                <w:b w:val="1"/>
                <w:bCs w:val="1"/>
                <w:color w:val="auto"/>
                <w:w w:val="99"/>
              </w:rPr>
              <w:t>Commission File Number 001-10701</w:t>
            </w:r>
          </w:p>
        </w:tc>
      </w:tr>
    </w:tbl>
    <w:p>
      <w:pPr>
        <w:spacing w:after="0" w:line="23"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36"/>
          <w:szCs w:val="36"/>
          <w:b w:val="1"/>
          <w:bCs w:val="1"/>
          <w:color w:val="auto"/>
        </w:rPr>
        <w:t>THE E.W. SCRIPPS COMPANY</w:t>
      </w:r>
    </w:p>
    <w:p>
      <w:pPr>
        <w:spacing w:after="0" w:line="53"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6"/>
          <w:szCs w:val="16"/>
          <w:color w:val="auto"/>
        </w:rPr>
        <w:t>(Exact name of registrant as specified in its charter)</w:t>
      </w:r>
    </w:p>
    <w:p>
      <w:pPr>
        <w:spacing w:after="0" w:line="118" w:lineRule="exact"/>
        <w:rPr>
          <w:sz w:val="24"/>
          <w:szCs w:val="24"/>
          <w:color w:val="auto"/>
        </w:rPr>
      </w:pPr>
    </w:p>
    <w:tbl>
      <w:tblPr>
        <w:tblLayout w:type="fixed"/>
        <w:tblInd w:w="1200" w:type="dxa"/>
        <w:tblCellMar>
          <w:top w:w="0" w:type="dxa"/>
          <w:left w:w="0" w:type="dxa"/>
          <w:bottom w:w="0" w:type="dxa"/>
          <w:right w:w="0" w:type="dxa"/>
        </w:tblCellMar>
      </w:tblPr>
      <w:tr>
        <w:trPr>
          <w:trHeight w:val="228"/>
        </w:trPr>
        <w:tc>
          <w:tcPr>
            <w:tcW w:w="4720" w:type="dxa"/>
            <w:vAlign w:val="bottom"/>
          </w:tcPr>
          <w:p>
            <w:pPr>
              <w:jc w:val="center"/>
              <w:ind w:right="1790"/>
              <w:spacing w:after="0"/>
              <w:rPr>
                <w:sz w:val="20"/>
                <w:szCs w:val="20"/>
                <w:color w:val="auto"/>
              </w:rPr>
            </w:pPr>
            <w:r>
              <w:rPr>
                <w:rFonts w:ascii="Times New Roman" w:cs="Times New Roman" w:eastAsia="Times New Roman" w:hAnsi="Times New Roman"/>
                <w:sz w:val="18"/>
                <w:szCs w:val="18"/>
                <w:color w:val="auto"/>
                <w:w w:val="99"/>
              </w:rPr>
              <w:t>Ohio</w:t>
            </w:r>
          </w:p>
        </w:tc>
        <w:tc>
          <w:tcPr>
            <w:tcW w:w="35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31-1223339</w:t>
            </w:r>
          </w:p>
        </w:tc>
      </w:tr>
      <w:tr>
        <w:trPr>
          <w:trHeight w:val="182"/>
        </w:trPr>
        <w:tc>
          <w:tcPr>
            <w:tcW w:w="4720" w:type="dxa"/>
            <w:vAlign w:val="bottom"/>
          </w:tcPr>
          <w:p>
            <w:pPr>
              <w:jc w:val="center"/>
              <w:ind w:right="1770"/>
              <w:spacing w:after="0" w:line="182" w:lineRule="exact"/>
              <w:rPr>
                <w:sz w:val="20"/>
                <w:szCs w:val="20"/>
                <w:color w:val="auto"/>
              </w:rPr>
            </w:pPr>
            <w:r>
              <w:rPr>
                <w:rFonts w:ascii="Times New Roman" w:cs="Times New Roman" w:eastAsia="Times New Roman" w:hAnsi="Times New Roman"/>
                <w:sz w:val="18"/>
                <w:szCs w:val="18"/>
                <w:i w:val="1"/>
                <w:iCs w:val="1"/>
                <w:color w:val="auto"/>
                <w:w w:val="99"/>
              </w:rPr>
              <w:t>(State or other jurisdiction of</w:t>
            </w:r>
          </w:p>
        </w:tc>
        <w:tc>
          <w:tcPr>
            <w:tcW w:w="3520" w:type="dxa"/>
            <w:vAlign w:val="bottom"/>
          </w:tcPr>
          <w:p>
            <w:pPr>
              <w:jc w:val="center"/>
              <w:ind w:left="1770"/>
              <w:spacing w:after="0" w:line="182" w:lineRule="exact"/>
              <w:rPr>
                <w:sz w:val="20"/>
                <w:szCs w:val="20"/>
                <w:color w:val="auto"/>
              </w:rPr>
            </w:pPr>
            <w:r>
              <w:rPr>
                <w:rFonts w:ascii="Times New Roman" w:cs="Times New Roman" w:eastAsia="Times New Roman" w:hAnsi="Times New Roman"/>
                <w:sz w:val="18"/>
                <w:szCs w:val="18"/>
                <w:i w:val="1"/>
                <w:iCs w:val="1"/>
                <w:color w:val="auto"/>
                <w:w w:val="99"/>
              </w:rPr>
              <w:t>(IRS Employer</w:t>
            </w:r>
          </w:p>
        </w:tc>
      </w:tr>
      <w:tr>
        <w:trPr>
          <w:trHeight w:val="236"/>
        </w:trPr>
        <w:tc>
          <w:tcPr>
            <w:tcW w:w="4720" w:type="dxa"/>
            <w:vAlign w:val="bottom"/>
          </w:tcPr>
          <w:p>
            <w:pPr>
              <w:jc w:val="center"/>
              <w:ind w:right="1770"/>
              <w:spacing w:after="0"/>
              <w:rPr>
                <w:sz w:val="20"/>
                <w:szCs w:val="20"/>
                <w:color w:val="auto"/>
              </w:rPr>
            </w:pPr>
            <w:r>
              <w:rPr>
                <w:rFonts w:ascii="Times New Roman" w:cs="Times New Roman" w:eastAsia="Times New Roman" w:hAnsi="Times New Roman"/>
                <w:sz w:val="18"/>
                <w:szCs w:val="18"/>
                <w:i w:val="1"/>
                <w:iCs w:val="1"/>
                <w:color w:val="auto"/>
                <w:w w:val="99"/>
              </w:rPr>
              <w:t>incorporation or organization)</w:t>
            </w:r>
          </w:p>
        </w:tc>
        <w:tc>
          <w:tcPr>
            <w:tcW w:w="3520" w:type="dxa"/>
            <w:vAlign w:val="bottom"/>
          </w:tcPr>
          <w:p>
            <w:pPr>
              <w:jc w:val="center"/>
              <w:ind w:left="1770"/>
              <w:spacing w:after="0"/>
              <w:rPr>
                <w:sz w:val="20"/>
                <w:szCs w:val="20"/>
                <w:color w:val="auto"/>
              </w:rPr>
            </w:pPr>
            <w:r>
              <w:rPr>
                <w:rFonts w:ascii="Times New Roman" w:cs="Times New Roman" w:eastAsia="Times New Roman" w:hAnsi="Times New Roman"/>
                <w:sz w:val="18"/>
                <w:szCs w:val="18"/>
                <w:i w:val="1"/>
                <w:iCs w:val="1"/>
                <w:color w:val="auto"/>
              </w:rPr>
              <w:t>Identification Number)</w:t>
            </w:r>
          </w:p>
        </w:tc>
      </w:tr>
      <w:tr>
        <w:trPr>
          <w:trHeight w:val="488"/>
        </w:trPr>
        <w:tc>
          <w:tcPr>
            <w:tcW w:w="4720" w:type="dxa"/>
            <w:vAlign w:val="bottom"/>
          </w:tcPr>
          <w:p>
            <w:pPr>
              <w:jc w:val="center"/>
              <w:ind w:right="1770"/>
              <w:spacing w:after="0"/>
              <w:rPr>
                <w:sz w:val="20"/>
                <w:szCs w:val="20"/>
                <w:color w:val="auto"/>
              </w:rPr>
            </w:pPr>
            <w:r>
              <w:rPr>
                <w:rFonts w:ascii="Times New Roman" w:cs="Times New Roman" w:eastAsia="Times New Roman" w:hAnsi="Times New Roman"/>
                <w:sz w:val="18"/>
                <w:szCs w:val="18"/>
                <w:color w:val="auto"/>
                <w:w w:val="99"/>
              </w:rPr>
              <w:t>312 Walnut Street</w:t>
            </w:r>
          </w:p>
        </w:tc>
        <w:tc>
          <w:tcPr>
            <w:tcW w:w="3520" w:type="dxa"/>
            <w:vAlign w:val="bottom"/>
          </w:tcPr>
          <w:p>
            <w:pPr>
              <w:spacing w:after="0"/>
              <w:rPr>
                <w:sz w:val="24"/>
                <w:szCs w:val="24"/>
                <w:color w:val="auto"/>
              </w:rPr>
            </w:pPr>
          </w:p>
        </w:tc>
      </w:tr>
      <w:tr>
        <w:trPr>
          <w:trHeight w:val="230"/>
        </w:trPr>
        <w:tc>
          <w:tcPr>
            <w:tcW w:w="472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Cincinnati, Ohio</w:t>
            </w:r>
          </w:p>
        </w:tc>
        <w:tc>
          <w:tcPr>
            <w:tcW w:w="352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45202</w:t>
            </w:r>
          </w:p>
        </w:tc>
      </w:tr>
      <w:tr>
        <w:trPr>
          <w:trHeight w:val="234"/>
        </w:trPr>
        <w:tc>
          <w:tcPr>
            <w:tcW w:w="4720" w:type="dxa"/>
            <w:vAlign w:val="bottom"/>
          </w:tcPr>
          <w:p>
            <w:pPr>
              <w:jc w:val="center"/>
              <w:ind w:right="177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3520" w:type="dxa"/>
            <w:vAlign w:val="bottom"/>
          </w:tcPr>
          <w:p>
            <w:pPr>
              <w:jc w:val="center"/>
              <w:ind w:left="1770"/>
              <w:spacing w:after="0"/>
              <w:rPr>
                <w:sz w:val="20"/>
                <w:szCs w:val="20"/>
                <w:color w:val="auto"/>
              </w:rPr>
            </w:pPr>
            <w:r>
              <w:rPr>
                <w:rFonts w:ascii="Times New Roman" w:cs="Times New Roman" w:eastAsia="Times New Roman" w:hAnsi="Times New Roman"/>
                <w:sz w:val="18"/>
                <w:szCs w:val="18"/>
                <w:color w:val="auto"/>
                <w:w w:val="98"/>
              </w:rPr>
              <w:t>(Zip Code)</w:t>
            </w:r>
          </w:p>
        </w:tc>
      </w:tr>
    </w:tbl>
    <w:p>
      <w:pPr>
        <w:spacing w:after="0" w:line="31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i w:val="1"/>
          <w:iCs w:val="1"/>
          <w:color w:val="auto"/>
        </w:rPr>
        <w:t>Registrant's telephone number, including area code: (513) 977-3000</w:t>
      </w:r>
    </w:p>
    <w:p>
      <w:pPr>
        <w:spacing w:after="0" w:line="254"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Not applicable</w:t>
      </w:r>
    </w:p>
    <w:p>
      <w:pPr>
        <w:spacing w:after="0" w:line="2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i w:val="1"/>
          <w:iCs w:val="1"/>
          <w:color w:val="auto"/>
        </w:rPr>
        <w:t>(Former name, former address and former fiscal year, if changed since last report.)</w:t>
      </w:r>
    </w:p>
    <w:p>
      <w:pPr>
        <w:spacing w:after="0" w:line="229"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p>
      <w:pPr>
        <w:sectPr>
          <w:pgSz w:w="11900" w:h="16838" w:orient="portrait"/>
          <w:cols w:equalWidth="0" w:num="1">
            <w:col w:w="11180"/>
          </w:cols>
          <w:pgMar w:left="320" w:top="1202" w:right="399" w:bottom="1440" w:gutter="0" w:footer="0" w:header="0"/>
        </w:sectPr>
      </w:pPr>
    </w:p>
    <w:p>
      <w:pPr>
        <w:spacing w:after="0" w:line="161" w:lineRule="exact"/>
        <w:rPr>
          <w:sz w:val="24"/>
          <w:szCs w:val="24"/>
          <w:color w:val="auto"/>
        </w:rPr>
      </w:pPr>
    </w:p>
    <w:p>
      <w:pPr>
        <w:ind w:left="1780"/>
        <w:spacing w:after="0"/>
        <w:rPr>
          <w:sz w:val="20"/>
          <w:szCs w:val="20"/>
          <w:color w:val="auto"/>
        </w:rPr>
      </w:pPr>
      <w:r>
        <w:rPr>
          <w:rFonts w:ascii="Times New Roman" w:cs="Times New Roman" w:eastAsia="Times New Roman" w:hAnsi="Times New Roman"/>
          <w:sz w:val="14"/>
          <w:szCs w:val="14"/>
          <w:b w:val="1"/>
          <w:bCs w:val="1"/>
          <w:color w:val="auto"/>
        </w:rPr>
        <w:t>Title of each class</w:t>
      </w:r>
    </w:p>
    <w:p>
      <w:pPr>
        <w:spacing w:after="0" w:line="20" w:lineRule="exact"/>
        <w:rPr>
          <w:sz w:val="24"/>
          <w:szCs w:val="24"/>
          <w:color w:val="auto"/>
        </w:rPr>
      </w:pPr>
      <w:r>
        <w:rPr>
          <w:sz w:val="24"/>
          <w:szCs w:val="24"/>
          <w:color w:val="auto"/>
        </w:rPr>
        <w:br w:type="column"/>
      </w:r>
    </w:p>
    <w:p>
      <w:pPr>
        <w:spacing w:after="0" w:line="141"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Trading Symbol(s)</w:t>
      </w:r>
    </w:p>
    <w:p>
      <w:pPr>
        <w:spacing w:after="0" w:line="20" w:lineRule="exact"/>
        <w:rPr>
          <w:sz w:val="24"/>
          <w:szCs w:val="24"/>
          <w:color w:val="auto"/>
        </w:rPr>
      </w:pPr>
      <w:r>
        <w:rPr>
          <w:sz w:val="24"/>
          <w:szCs w:val="24"/>
          <w:color w:val="auto"/>
        </w:rPr>
        <w:br w:type="column"/>
      </w:r>
    </w:p>
    <w:p>
      <w:pPr>
        <w:spacing w:after="0" w:line="141"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p>
      <w:pPr>
        <w:spacing w:after="0" w:line="44" w:lineRule="exact"/>
        <w:rPr>
          <w:sz w:val="24"/>
          <w:szCs w:val="24"/>
          <w:color w:val="auto"/>
        </w:rPr>
      </w:pPr>
    </w:p>
    <w:p>
      <w:pPr>
        <w:sectPr>
          <w:pgSz w:w="11900" w:h="16838" w:orient="portrait"/>
          <w:cols w:equalWidth="0" w:num="3">
            <w:col w:w="4320" w:space="720"/>
            <w:col w:w="1800" w:space="720"/>
            <w:col w:w="3620"/>
          </w:cols>
          <w:pgMar w:left="320" w:top="1202" w:right="399" w:bottom="1440" w:gutter="0" w:footer="0" w:header="0"/>
          <w:type w:val="continuous"/>
        </w:sectPr>
      </w:pPr>
    </w:p>
    <w:p>
      <w:pPr>
        <w:ind w:left="860"/>
        <w:spacing w:after="0"/>
        <w:rPr>
          <w:sz w:val="20"/>
          <w:szCs w:val="20"/>
          <w:color w:val="auto"/>
        </w:rPr>
      </w:pPr>
      <w:r>
        <w:rPr>
          <w:rFonts w:ascii="Times New Roman" w:cs="Times New Roman" w:eastAsia="Times New Roman" w:hAnsi="Times New Roman"/>
          <w:sz w:val="14"/>
          <w:szCs w:val="14"/>
          <w:color w:val="auto"/>
        </w:rPr>
        <w:t>Class A Common Stock, par value $0.01 per share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color w:val="auto"/>
        </w:rPr>
        <w:t>SSP</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color w:val="auto"/>
        </w:rPr>
        <w:t>NASDAQ Global Select Market</w:t>
      </w:r>
    </w:p>
    <w:p>
      <w:pPr>
        <w:spacing w:after="0" w:line="200" w:lineRule="exact"/>
        <w:rPr>
          <w:sz w:val="24"/>
          <w:szCs w:val="24"/>
          <w:color w:val="auto"/>
        </w:rPr>
      </w:pPr>
    </w:p>
    <w:p>
      <w:pPr>
        <w:sectPr>
          <w:pgSz w:w="11900" w:h="16838" w:orient="portrait"/>
          <w:cols w:equalWidth="0" w:num="3">
            <w:col w:w="4780" w:space="720"/>
            <w:col w:w="1740" w:space="720"/>
            <w:col w:w="3220"/>
          </w:cols>
          <w:pgMar w:left="320" w:top="1202" w:right="399" w:bottom="1440" w:gutter="0" w:footer="0" w:header="0"/>
          <w:type w:val="continuous"/>
        </w:sectPr>
      </w:pPr>
    </w:p>
    <w:p>
      <w:pPr>
        <w:spacing w:after="0" w:line="17" w:lineRule="exact"/>
        <w:rPr>
          <w:sz w:val="24"/>
          <w:szCs w:val="24"/>
          <w:color w:val="auto"/>
        </w:rPr>
      </w:pPr>
    </w:p>
    <w:p>
      <w:pPr>
        <w:ind w:right="160"/>
        <w:spacing w:after="0" w:line="200"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74" w:lineRule="exact"/>
        <w:rPr>
          <w:sz w:val="24"/>
          <w:szCs w:val="24"/>
          <w:color w:val="auto"/>
        </w:rPr>
      </w:pPr>
    </w:p>
    <w:p>
      <w:pPr>
        <w:spacing w:after="0" w:line="200"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and post such files).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61" w:lineRule="exact"/>
        <w:rPr>
          <w:sz w:val="24"/>
          <w:szCs w:val="24"/>
          <w:color w:val="auto"/>
        </w:rPr>
      </w:pPr>
    </w:p>
    <w:p>
      <w:pPr>
        <w:spacing w:after="0" w:line="302"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definition of “large accelerated filer,” “accelerated filer,” “smaller reporting company," and "emerging growth company" in Rule 12b-2 of the Exchange Act.</w:t>
      </w:r>
    </w:p>
    <w:p>
      <w:pPr>
        <w:sectPr>
          <w:pgSz w:w="11900" w:h="16838" w:orient="portrait"/>
          <w:cols w:equalWidth="0" w:num="1">
            <w:col w:w="11180"/>
          </w:cols>
          <w:pgMar w:left="320" w:top="1202" w:right="399" w:bottom="1440" w:gutter="0" w:footer="0" w:header="0"/>
          <w:type w:val="continuous"/>
        </w:sectPr>
      </w:pPr>
    </w:p>
    <w:p>
      <w:pPr>
        <w:spacing w:after="0" w:line="81" w:lineRule="exact"/>
        <w:rPr>
          <w:sz w:val="24"/>
          <w:szCs w:val="24"/>
          <w:color w:val="auto"/>
        </w:rPr>
      </w:pPr>
    </w:p>
    <w:p>
      <w:pPr>
        <w:ind w:left="960"/>
        <w:spacing w:after="0"/>
        <w:rPr>
          <w:sz w:val="20"/>
          <w:szCs w:val="20"/>
          <w:color w:val="auto"/>
        </w:rPr>
      </w:pPr>
      <w:r>
        <w:rPr>
          <w:rFonts w:ascii="Times New Roman" w:cs="Times New Roman" w:eastAsia="Times New Roman" w:hAnsi="Times New Roman"/>
          <w:sz w:val="14"/>
          <w:szCs w:val="14"/>
          <w:color w:val="auto"/>
        </w:rPr>
        <w:t>Large accelerated filer</w:t>
      </w:r>
    </w:p>
    <w:p>
      <w:pPr>
        <w:spacing w:after="0" w:line="42" w:lineRule="exact"/>
        <w:rPr>
          <w:sz w:val="24"/>
          <w:szCs w:val="24"/>
          <w:color w:val="auto"/>
        </w:rPr>
      </w:pPr>
    </w:p>
    <w:p>
      <w:pPr>
        <w:ind w:left="1000"/>
        <w:spacing w:after="0"/>
        <w:rPr>
          <w:sz w:val="20"/>
          <w:szCs w:val="20"/>
          <w:color w:val="auto"/>
        </w:rPr>
      </w:pPr>
      <w:r>
        <w:rPr>
          <w:rFonts w:ascii="Times New Roman" w:cs="Times New Roman" w:eastAsia="Times New Roman" w:hAnsi="Times New Roman"/>
          <w:sz w:val="14"/>
          <w:szCs w:val="14"/>
          <w:color w:val="auto"/>
        </w:rPr>
        <w:t>Non-accelerated filer</w:t>
      </w:r>
    </w:p>
    <w:p>
      <w:pPr>
        <w:spacing w:after="0" w:line="20" w:lineRule="exact"/>
        <w:rPr>
          <w:sz w:val="24"/>
          <w:szCs w:val="24"/>
          <w:color w:val="auto"/>
        </w:rPr>
      </w:pPr>
      <w:r>
        <w:rPr>
          <w:sz w:val="24"/>
          <w:szCs w:val="24"/>
          <w:color w:val="auto"/>
        </w:rPr>
        <w:br w:type="column"/>
      </w:r>
    </w:p>
    <w:p>
      <w:pPr>
        <w:spacing w:after="0" w:line="43"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102"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61" w:lineRule="exact"/>
        <w:rPr>
          <w:sz w:val="24"/>
          <w:szCs w:val="24"/>
          <w:color w:val="auto"/>
        </w:rPr>
      </w:pPr>
    </w:p>
    <w:p>
      <w:pPr>
        <w:jc w:val="center"/>
        <w:ind w:right="120"/>
        <w:spacing w:after="0"/>
        <w:rPr>
          <w:sz w:val="20"/>
          <w:szCs w:val="20"/>
          <w:color w:val="auto"/>
        </w:rPr>
      </w:pPr>
      <w:r>
        <w:rPr>
          <w:rFonts w:ascii="Times New Roman" w:cs="Times New Roman" w:eastAsia="Times New Roman" w:hAnsi="Times New Roman"/>
          <w:sz w:val="14"/>
          <w:szCs w:val="14"/>
          <w:color w:val="auto"/>
        </w:rPr>
        <w:t>Accelerated filer</w:t>
      </w:r>
    </w:p>
    <w:p>
      <w:pPr>
        <w:spacing w:after="0" w:line="42" w:lineRule="exact"/>
        <w:rPr>
          <w:sz w:val="24"/>
          <w:szCs w:val="24"/>
          <w:color w:val="auto"/>
        </w:rPr>
      </w:pPr>
    </w:p>
    <w:p>
      <w:pPr>
        <w:jc w:val="center"/>
        <w:ind w:right="120"/>
        <w:spacing w:after="0"/>
        <w:rPr>
          <w:sz w:val="20"/>
          <w:szCs w:val="20"/>
          <w:color w:val="auto"/>
        </w:rPr>
      </w:pPr>
      <w:r>
        <w:rPr>
          <w:rFonts w:ascii="Times New Roman" w:cs="Times New Roman" w:eastAsia="Times New Roman" w:hAnsi="Times New Roman"/>
          <w:sz w:val="14"/>
          <w:szCs w:val="14"/>
          <w:color w:val="auto"/>
        </w:rPr>
        <w:t>Smaller reporting company</w:t>
      </w:r>
    </w:p>
    <w:p>
      <w:pPr>
        <w:spacing w:after="0" w:line="20" w:lineRule="exact"/>
        <w:rPr>
          <w:sz w:val="24"/>
          <w:szCs w:val="24"/>
          <w:color w:val="auto"/>
        </w:rPr>
      </w:pPr>
      <w:r>
        <w:rPr>
          <w:sz w:val="24"/>
          <w:szCs w:val="24"/>
          <w:color w:val="auto"/>
        </w:rPr>
        <w:br w:type="column"/>
      </w:r>
    </w:p>
    <w:p>
      <w:pPr>
        <w:spacing w:after="0" w:line="43"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102"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61" w:lineRule="exact"/>
        <w:rPr>
          <w:sz w:val="24"/>
          <w:szCs w:val="24"/>
          <w:color w:val="auto"/>
        </w:rPr>
      </w:pPr>
    </w:p>
    <w:p>
      <w:pPr>
        <w:jc w:val="center"/>
        <w:ind w:right="180"/>
        <w:spacing w:after="0"/>
        <w:rPr>
          <w:sz w:val="20"/>
          <w:szCs w:val="20"/>
          <w:color w:val="auto"/>
        </w:rPr>
      </w:pPr>
      <w:r>
        <w:rPr>
          <w:rFonts w:ascii="Times New Roman" w:cs="Times New Roman" w:eastAsia="Times New Roman" w:hAnsi="Times New Roman"/>
          <w:sz w:val="14"/>
          <w:szCs w:val="14"/>
          <w:color w:val="auto"/>
        </w:rPr>
        <w:t>Emerging growth company</w:t>
      </w:r>
    </w:p>
    <w:p>
      <w:pPr>
        <w:spacing w:after="0" w:line="20" w:lineRule="exact"/>
        <w:rPr>
          <w:sz w:val="24"/>
          <w:szCs w:val="24"/>
          <w:color w:val="auto"/>
        </w:rPr>
      </w:pPr>
      <w:r>
        <w:rPr>
          <w:sz w:val="24"/>
          <w:szCs w:val="24"/>
          <w:color w:val="auto"/>
        </w:rPr>
        <w:br w:type="column"/>
      </w:r>
    </w:p>
    <w:p>
      <w:pPr>
        <w:spacing w:after="0" w:line="43"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404" w:lineRule="exact"/>
        <w:rPr>
          <w:sz w:val="24"/>
          <w:szCs w:val="24"/>
          <w:color w:val="auto"/>
        </w:rPr>
      </w:pPr>
    </w:p>
    <w:p>
      <w:pPr>
        <w:sectPr>
          <w:pgSz w:w="11900" w:h="16838" w:orient="portrait"/>
          <w:cols w:equalWidth="0" w:num="6">
            <w:col w:w="2500" w:space="720"/>
            <w:col w:w="380" w:space="720"/>
            <w:col w:w="1680" w:space="720"/>
            <w:col w:w="380" w:space="720"/>
            <w:col w:w="1740" w:space="720"/>
            <w:col w:w="900"/>
          </w:cols>
          <w:pgMar w:left="320" w:top="1202" w:right="399" w:bottom="1440" w:gutter="0" w:footer="0" w:header="0"/>
          <w:type w:val="continuous"/>
        </w:sectPr>
      </w:pPr>
    </w:p>
    <w:p>
      <w:pPr>
        <w:ind w:right="500"/>
        <w:spacing w:after="0" w:line="200"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56" w:lineRule="exact"/>
        <w:rPr>
          <w:sz w:val="24"/>
          <w:szCs w:val="24"/>
          <w:color w:val="auto"/>
        </w:rPr>
      </w:pPr>
    </w:p>
    <w:p>
      <w:pPr>
        <w:spacing w:after="0" w:line="161"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154" w:lineRule="exact"/>
        <w:rPr>
          <w:sz w:val="24"/>
          <w:szCs w:val="24"/>
          <w:color w:val="auto"/>
        </w:rPr>
      </w:pPr>
    </w:p>
    <w:p>
      <w:pPr>
        <w:ind w:right="60"/>
        <w:spacing w:after="0" w:line="302" w:lineRule="auto"/>
        <w:rPr>
          <w:sz w:val="20"/>
          <w:szCs w:val="20"/>
          <w:color w:val="auto"/>
        </w:rPr>
      </w:pPr>
      <w:r>
        <w:rPr>
          <w:rFonts w:ascii="Times New Roman" w:cs="Times New Roman" w:eastAsia="Times New Roman" w:hAnsi="Times New Roman"/>
          <w:sz w:val="14"/>
          <w:szCs w:val="14"/>
          <w:color w:val="auto"/>
        </w:rPr>
        <w:t>Indicate the number of shares outstanding of each of the issuer's classes of common stock, as of the latest practicable date. As of June 30, 2025, there were 76,400,410 of the registrant’s Class A Common shares, $0.01 par value per share, outstanding and 11,932,722 of the registrant’s Common Voting shares, $0.01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773430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83185</wp:posOffset>
            </wp:positionV>
            <wp:extent cx="711517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15175"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57150</wp:posOffset>
            </wp:positionV>
            <wp:extent cx="71151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ectPr>
          <w:pgSz w:w="11900" w:h="16838" w:orient="portrait"/>
          <w:cols w:equalWidth="0" w:num="1">
            <w:col w:w="11180"/>
          </w:cols>
          <w:pgMar w:left="320" w:top="1202" w:right="39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Index to The E.W. Scripps Company Quarterly Report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on Form 10-Q for the Quarter Ended June 30, 2025</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Borders>
              <w:bottom w:val="single" w:sz="8" w:color="auto"/>
            </w:tcBorders>
          </w:tcPr>
          <w:p>
            <w:pPr>
              <w:spacing w:after="0"/>
              <w:rPr>
                <w:sz w:val="20"/>
                <w:szCs w:val="20"/>
                <w:color w:val="auto"/>
              </w:rPr>
            </w:pPr>
          </w:p>
        </w:tc>
        <w:tc>
          <w:tcPr>
            <w:tcW w:w="9660" w:type="dxa"/>
            <w:vAlign w:val="bottom"/>
            <w:tcBorders>
              <w:bottom w:val="single" w:sz="8" w:color="auto"/>
            </w:tcBorders>
            <w:gridSpan w:val="14"/>
          </w:tcPr>
          <w:p>
            <w:pPr>
              <w:spacing w:after="0"/>
              <w:rPr>
                <w:sz w:val="20"/>
                <w:szCs w:val="20"/>
                <w:color w:val="auto"/>
              </w:rPr>
            </w:pPr>
            <w:r>
              <w:rPr>
                <w:rFonts w:ascii="Times New Roman" w:cs="Times New Roman" w:eastAsia="Times New Roman" w:hAnsi="Times New Roman"/>
                <w:sz w:val="18"/>
                <w:szCs w:val="18"/>
                <w:b w:val="1"/>
                <w:bCs w:val="1"/>
                <w:color w:val="auto"/>
              </w:rPr>
              <w:t>Item No.</w:t>
            </w:r>
          </w:p>
        </w:tc>
        <w:tc>
          <w:tcPr>
            <w:tcW w:w="100" w:type="dxa"/>
            <w:vAlign w:val="bottom"/>
          </w:tcPr>
          <w:p>
            <w:pPr>
              <w:spacing w:after="0"/>
              <w:rPr>
                <w:sz w:val="20"/>
                <w:szCs w:val="20"/>
                <w:color w:val="auto"/>
              </w:rPr>
            </w:pPr>
          </w:p>
        </w:tc>
        <w:tc>
          <w:tcPr>
            <w:tcW w:w="14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Page</w:t>
            </w:r>
          </w:p>
        </w:tc>
        <w:tc>
          <w:tcPr>
            <w:tcW w:w="20" w:type="dxa"/>
            <w:vAlign w:val="bottom"/>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976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PART I - Financial Information</w:t>
            </w: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63"/>
        </w:trPr>
        <w:tc>
          <w:tcPr>
            <w:tcW w:w="20" w:type="dxa"/>
            <w:vAlign w:val="bottom"/>
          </w:tcPr>
          <w:p>
            <w:pPr>
              <w:spacing w:after="0"/>
              <w:rPr>
                <w:sz w:val="22"/>
                <w:szCs w:val="22"/>
                <w:color w:val="auto"/>
              </w:rPr>
            </w:pPr>
          </w:p>
        </w:tc>
        <w:tc>
          <w:tcPr>
            <w:tcW w:w="160" w:type="dxa"/>
            <w:vAlign w:val="bottom"/>
            <w:tcBorders>
              <w:top w:val="single" w:sz="8" w:color="0000FF"/>
            </w:tcBorders>
          </w:tcPr>
          <w:p>
            <w:pPr>
              <w:spacing w:after="0"/>
              <w:rPr>
                <w:sz w:val="20"/>
                <w:szCs w:val="20"/>
                <w:color w:val="auto"/>
              </w:rPr>
            </w:pPr>
            <w:r>
              <w:rPr>
                <w:rFonts w:ascii="Times New Roman" w:cs="Times New Roman" w:eastAsia="Times New Roman" w:hAnsi="Times New Roman"/>
                <w:sz w:val="18"/>
                <w:szCs w:val="18"/>
                <w:color w:val="0000FF"/>
              </w:rPr>
              <w:t>1.</w:t>
            </w:r>
          </w:p>
        </w:tc>
        <w:tc>
          <w:tcPr>
            <w:tcW w:w="1540" w:type="dxa"/>
            <w:vAlign w:val="bottom"/>
            <w:tcBorders>
              <w:top w:val="single" w:sz="8" w:color="0000FF"/>
            </w:tcBorders>
            <w:gridSpan w:val="6"/>
          </w:tcPr>
          <w:p>
            <w:pPr>
              <w:ind w:left="20"/>
              <w:spacing w:after="0"/>
              <w:rPr>
                <w:sz w:val="20"/>
                <w:szCs w:val="20"/>
                <w:color w:val="auto"/>
              </w:rPr>
            </w:pPr>
            <w:r>
              <w:rPr>
                <w:rFonts w:ascii="Times New Roman" w:cs="Times New Roman" w:eastAsia="Times New Roman" w:hAnsi="Times New Roman"/>
                <w:sz w:val="18"/>
                <w:szCs w:val="18"/>
                <w:color w:val="0000FF"/>
                <w:w w:val="99"/>
              </w:rPr>
              <w:t>Financial Statements</w:t>
            </w:r>
          </w:p>
        </w:tc>
        <w:tc>
          <w:tcPr>
            <w:tcW w:w="560" w:type="dxa"/>
            <w:vAlign w:val="bottom"/>
            <w:tcBorders>
              <w:top w:val="single" w:sz="8" w:color="0000FF"/>
            </w:tcBorders>
            <w:gridSpan w:val="3"/>
          </w:tcPr>
          <w:p>
            <w:pPr>
              <w:spacing w:after="0"/>
              <w:rPr>
                <w:sz w:val="22"/>
                <w:szCs w:val="22"/>
                <w:color w:val="auto"/>
              </w:rPr>
            </w:pPr>
          </w:p>
        </w:tc>
        <w:tc>
          <w:tcPr>
            <w:tcW w:w="7500" w:type="dxa"/>
            <w:vAlign w:val="bottom"/>
            <w:gridSpan w:val="5"/>
          </w:tcPr>
          <w:p>
            <w:pPr>
              <w:spacing w:after="0"/>
              <w:rPr>
                <w:sz w:val="22"/>
                <w:szCs w:val="22"/>
                <w:color w:val="auto"/>
              </w:rPr>
            </w:pPr>
          </w:p>
        </w:tc>
        <w:tc>
          <w:tcPr>
            <w:tcW w:w="14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88"/>
              </w:rPr>
              <w:t>3</w:t>
            </w:r>
          </w:p>
        </w:tc>
        <w:tc>
          <w:tcPr>
            <w:tcW w:w="20" w:type="dxa"/>
            <w:vAlign w:val="bottom"/>
          </w:tcPr>
          <w:p>
            <w:pPr>
              <w:spacing w:after="0"/>
              <w:rPr>
                <w:sz w:val="22"/>
                <w:szCs w:val="22"/>
                <w:color w:val="auto"/>
              </w:rPr>
            </w:pPr>
          </w:p>
        </w:tc>
      </w:tr>
      <w:tr>
        <w:trPr>
          <w:trHeight w:val="20"/>
        </w:trPr>
        <w:tc>
          <w:tcPr>
            <w:tcW w:w="2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14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0000FF"/>
              </w:rPr>
              <w:t>2.</w:t>
            </w:r>
          </w:p>
        </w:tc>
        <w:tc>
          <w:tcPr>
            <w:tcW w:w="9600" w:type="dxa"/>
            <w:vAlign w:val="bottom"/>
            <w:gridSpan w:val="14"/>
          </w:tcPr>
          <w:p>
            <w:pPr>
              <w:ind w:left="20"/>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14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88"/>
              </w:rPr>
              <w:t>3</w:t>
            </w:r>
          </w:p>
        </w:tc>
        <w:tc>
          <w:tcPr>
            <w:tcW w:w="20" w:type="dxa"/>
            <w:vAlign w:val="bottom"/>
          </w:tcPr>
          <w:p>
            <w:pPr>
              <w:spacing w:after="0"/>
              <w:rPr>
                <w:sz w:val="22"/>
                <w:szCs w:val="22"/>
                <w:color w:val="auto"/>
              </w:rPr>
            </w:pPr>
          </w:p>
        </w:tc>
      </w:tr>
      <w:tr>
        <w:trPr>
          <w:trHeight w:val="20"/>
        </w:trPr>
        <w:tc>
          <w:tcPr>
            <w:tcW w:w="2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2040" w:type="dxa"/>
            <w:vAlign w:val="bottom"/>
            <w:shd w:val="clear" w:color="auto" w:fill="0000FF"/>
          </w:tcPr>
          <w:p>
            <w:pPr>
              <w:spacing w:after="0" w:line="20" w:lineRule="exact"/>
              <w:rPr>
                <w:sz w:val="1"/>
                <w:szCs w:val="1"/>
                <w:color w:val="auto"/>
              </w:rPr>
            </w:pPr>
          </w:p>
        </w:tc>
        <w:tc>
          <w:tcPr>
            <w:tcW w:w="2080" w:type="dxa"/>
            <w:vAlign w:val="bottom"/>
            <w:shd w:val="clear" w:color="auto" w:fill="0000FF"/>
          </w:tcPr>
          <w:p>
            <w:pPr>
              <w:spacing w:after="0" w:line="20" w:lineRule="exact"/>
              <w:rPr>
                <w:sz w:val="1"/>
                <w:szCs w:val="1"/>
                <w:color w:val="auto"/>
              </w:rPr>
            </w:pPr>
          </w:p>
        </w:tc>
        <w:tc>
          <w:tcPr>
            <w:tcW w:w="314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0000FF"/>
              </w:rPr>
              <w:t>3.</w:t>
            </w:r>
          </w:p>
        </w:tc>
        <w:tc>
          <w:tcPr>
            <w:tcW w:w="6460" w:type="dxa"/>
            <w:vAlign w:val="bottom"/>
            <w:gridSpan w:val="12"/>
          </w:tcPr>
          <w:p>
            <w:pPr>
              <w:ind w:left="20"/>
              <w:spacing w:after="0"/>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3140" w:type="dxa"/>
            <w:vAlign w:val="bottom"/>
            <w:gridSpan w:val="2"/>
          </w:tcPr>
          <w:p>
            <w:pPr>
              <w:spacing w:after="0"/>
              <w:rPr>
                <w:sz w:val="22"/>
                <w:szCs w:val="22"/>
                <w:color w:val="auto"/>
              </w:rPr>
            </w:pPr>
          </w:p>
        </w:tc>
        <w:tc>
          <w:tcPr>
            <w:tcW w:w="14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88"/>
              </w:rPr>
              <w:t>3</w:t>
            </w:r>
          </w:p>
        </w:tc>
        <w:tc>
          <w:tcPr>
            <w:tcW w:w="20" w:type="dxa"/>
            <w:vAlign w:val="bottom"/>
          </w:tcPr>
          <w:p>
            <w:pPr>
              <w:spacing w:after="0"/>
              <w:rPr>
                <w:sz w:val="22"/>
                <w:szCs w:val="22"/>
                <w:color w:val="auto"/>
              </w:rPr>
            </w:pPr>
          </w:p>
        </w:tc>
      </w:tr>
      <w:tr>
        <w:trPr>
          <w:trHeight w:val="20"/>
        </w:trPr>
        <w:tc>
          <w:tcPr>
            <w:tcW w:w="2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2040" w:type="dxa"/>
            <w:vAlign w:val="bottom"/>
            <w:shd w:val="clear" w:color="auto" w:fill="0000FF"/>
          </w:tcPr>
          <w:p>
            <w:pPr>
              <w:spacing w:after="0" w:line="20" w:lineRule="exact"/>
              <w:rPr>
                <w:sz w:val="1"/>
                <w:szCs w:val="1"/>
                <w:color w:val="auto"/>
              </w:rPr>
            </w:pPr>
          </w:p>
        </w:tc>
        <w:tc>
          <w:tcPr>
            <w:tcW w:w="5220" w:type="dxa"/>
            <w:vAlign w:val="bottom"/>
            <w:gridSpan w:val="3"/>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0000FF"/>
              </w:rPr>
              <w:t>4.</w:t>
            </w:r>
          </w:p>
        </w:tc>
        <w:tc>
          <w:tcPr>
            <w:tcW w:w="1800" w:type="dxa"/>
            <w:vAlign w:val="bottom"/>
            <w:gridSpan w:val="7"/>
          </w:tcPr>
          <w:p>
            <w:pPr>
              <w:ind w:left="20"/>
              <w:spacing w:after="0"/>
              <w:rPr>
                <w:sz w:val="20"/>
                <w:szCs w:val="20"/>
                <w:color w:val="auto"/>
              </w:rPr>
            </w:pPr>
            <w:r>
              <w:rPr>
                <w:rFonts w:ascii="Times New Roman" w:cs="Times New Roman" w:eastAsia="Times New Roman" w:hAnsi="Times New Roman"/>
                <w:sz w:val="18"/>
                <w:szCs w:val="18"/>
                <w:color w:val="0000FF"/>
                <w:w w:val="98"/>
              </w:rPr>
              <w:t>Controls and Procedures</w:t>
            </w:r>
          </w:p>
        </w:tc>
        <w:tc>
          <w:tcPr>
            <w:tcW w:w="2580" w:type="dxa"/>
            <w:vAlign w:val="bottom"/>
            <w:gridSpan w:val="4"/>
          </w:tcPr>
          <w:p>
            <w:pPr>
              <w:spacing w:after="0"/>
              <w:rPr>
                <w:sz w:val="22"/>
                <w:szCs w:val="22"/>
                <w:color w:val="auto"/>
              </w:rPr>
            </w:pPr>
          </w:p>
        </w:tc>
        <w:tc>
          <w:tcPr>
            <w:tcW w:w="5220" w:type="dxa"/>
            <w:vAlign w:val="bottom"/>
            <w:gridSpan w:val="3"/>
          </w:tcPr>
          <w:p>
            <w:pPr>
              <w:spacing w:after="0"/>
              <w:rPr>
                <w:sz w:val="22"/>
                <w:szCs w:val="22"/>
                <w:color w:val="auto"/>
              </w:rPr>
            </w:pPr>
          </w:p>
        </w:tc>
        <w:tc>
          <w:tcPr>
            <w:tcW w:w="14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88"/>
              </w:rPr>
              <w:t>3</w:t>
            </w:r>
          </w:p>
        </w:tc>
        <w:tc>
          <w:tcPr>
            <w:tcW w:w="20" w:type="dxa"/>
            <w:vAlign w:val="bottom"/>
          </w:tcPr>
          <w:p>
            <w:pPr>
              <w:spacing w:after="0"/>
              <w:rPr>
                <w:sz w:val="22"/>
                <w:szCs w:val="22"/>
                <w:color w:val="auto"/>
              </w:rPr>
            </w:pPr>
          </w:p>
        </w:tc>
      </w:tr>
      <w:tr>
        <w:trPr>
          <w:trHeight w:val="20"/>
        </w:trPr>
        <w:tc>
          <w:tcPr>
            <w:tcW w:w="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5220" w:type="dxa"/>
            <w:vAlign w:val="bottom"/>
            <w:gridSpan w:val="3"/>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976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PART II - Other Information</w:t>
            </w:r>
          </w:p>
        </w:tc>
        <w:tc>
          <w:tcPr>
            <w:tcW w:w="6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264"/>
        </w:trPr>
        <w:tc>
          <w:tcPr>
            <w:tcW w:w="20" w:type="dxa"/>
            <w:vAlign w:val="bottom"/>
          </w:tcPr>
          <w:p>
            <w:pPr>
              <w:spacing w:after="0"/>
              <w:rPr>
                <w:sz w:val="22"/>
                <w:szCs w:val="22"/>
                <w:color w:val="auto"/>
              </w:rPr>
            </w:pPr>
          </w:p>
        </w:tc>
        <w:tc>
          <w:tcPr>
            <w:tcW w:w="160" w:type="dxa"/>
            <w:vAlign w:val="bottom"/>
            <w:tcBorders>
              <w:top w:val="single" w:sz="8" w:color="0000FF"/>
            </w:tcBorders>
          </w:tcPr>
          <w:p>
            <w:pPr>
              <w:spacing w:after="0"/>
              <w:rPr>
                <w:sz w:val="20"/>
                <w:szCs w:val="20"/>
                <w:color w:val="auto"/>
              </w:rPr>
            </w:pPr>
            <w:r>
              <w:rPr>
                <w:rFonts w:ascii="Times New Roman" w:cs="Times New Roman" w:eastAsia="Times New Roman" w:hAnsi="Times New Roman"/>
                <w:sz w:val="18"/>
                <w:szCs w:val="18"/>
                <w:color w:val="0000FF"/>
              </w:rPr>
              <w:t>1.</w:t>
            </w:r>
          </w:p>
        </w:tc>
        <w:tc>
          <w:tcPr>
            <w:tcW w:w="1340" w:type="dxa"/>
            <w:vAlign w:val="bottom"/>
            <w:tcBorders>
              <w:top w:val="single" w:sz="8" w:color="0000FF"/>
            </w:tcBorders>
            <w:gridSpan w:val="5"/>
          </w:tcPr>
          <w:p>
            <w:pPr>
              <w:ind w:left="20"/>
              <w:spacing w:after="0"/>
              <w:rPr>
                <w:sz w:val="20"/>
                <w:szCs w:val="20"/>
                <w:color w:val="auto"/>
              </w:rPr>
            </w:pPr>
            <w:r>
              <w:rPr>
                <w:rFonts w:ascii="Times New Roman" w:cs="Times New Roman" w:eastAsia="Times New Roman" w:hAnsi="Times New Roman"/>
                <w:sz w:val="18"/>
                <w:szCs w:val="18"/>
                <w:color w:val="0000FF"/>
                <w:w w:val="95"/>
              </w:rPr>
              <w:t>Legal Proceedings</w:t>
            </w:r>
          </w:p>
        </w:tc>
        <w:tc>
          <w:tcPr>
            <w:tcW w:w="560" w:type="dxa"/>
            <w:vAlign w:val="bottom"/>
            <w:tcBorders>
              <w:top w:val="single" w:sz="8" w:color="0000FF"/>
            </w:tcBorders>
            <w:gridSpan w:val="3"/>
          </w:tcPr>
          <w:p>
            <w:pPr>
              <w:spacing w:after="0"/>
              <w:rPr>
                <w:sz w:val="22"/>
                <w:szCs w:val="22"/>
                <w:color w:val="auto"/>
              </w:rPr>
            </w:pPr>
          </w:p>
        </w:tc>
        <w:tc>
          <w:tcPr>
            <w:tcW w:w="7700" w:type="dxa"/>
            <w:vAlign w:val="bottom"/>
            <w:gridSpan w:val="6"/>
          </w:tcPr>
          <w:p>
            <w:pPr>
              <w:spacing w:after="0"/>
              <w:rPr>
                <w:sz w:val="22"/>
                <w:szCs w:val="22"/>
                <w:color w:val="auto"/>
              </w:rPr>
            </w:pPr>
          </w:p>
        </w:tc>
        <w:tc>
          <w:tcPr>
            <w:tcW w:w="14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88"/>
              </w:rPr>
              <w:t>3</w:t>
            </w:r>
          </w:p>
        </w:tc>
        <w:tc>
          <w:tcPr>
            <w:tcW w:w="20" w:type="dxa"/>
            <w:vAlign w:val="bottom"/>
          </w:tcPr>
          <w:p>
            <w:pPr>
              <w:spacing w:after="0"/>
              <w:rPr>
                <w:sz w:val="22"/>
                <w:szCs w:val="22"/>
                <w:color w:val="auto"/>
              </w:rPr>
            </w:pPr>
          </w:p>
        </w:tc>
      </w:tr>
      <w:tr>
        <w:trPr>
          <w:trHeight w:val="20"/>
        </w:trPr>
        <w:tc>
          <w:tcPr>
            <w:tcW w:w="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gridSpan w:val="2"/>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5220" w:type="dxa"/>
            <w:vAlign w:val="bottom"/>
            <w:gridSpan w:val="3"/>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150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1A. Risk Factors</w:t>
            </w:r>
          </w:p>
        </w:tc>
        <w:tc>
          <w:tcPr>
            <w:tcW w:w="8260" w:type="dxa"/>
            <w:vAlign w:val="bottom"/>
            <w:gridSpan w:val="9"/>
          </w:tcPr>
          <w:p>
            <w:pPr>
              <w:spacing w:after="0"/>
              <w:rPr>
                <w:sz w:val="22"/>
                <w:szCs w:val="22"/>
                <w:color w:val="auto"/>
              </w:rPr>
            </w:pPr>
          </w:p>
        </w:tc>
        <w:tc>
          <w:tcPr>
            <w:tcW w:w="14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88"/>
              </w:rPr>
              <w:t>3</w:t>
            </w:r>
          </w:p>
        </w:tc>
        <w:tc>
          <w:tcPr>
            <w:tcW w:w="20" w:type="dxa"/>
            <w:vAlign w:val="bottom"/>
          </w:tcPr>
          <w:p>
            <w:pPr>
              <w:spacing w:after="0"/>
              <w:rPr>
                <w:sz w:val="22"/>
                <w:szCs w:val="22"/>
                <w:color w:val="auto"/>
              </w:rPr>
            </w:pPr>
          </w:p>
        </w:tc>
      </w:tr>
      <w:tr>
        <w:trPr>
          <w:trHeight w:val="20"/>
        </w:trPr>
        <w:tc>
          <w:tcPr>
            <w:tcW w:w="2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5220" w:type="dxa"/>
            <w:vAlign w:val="bottom"/>
            <w:gridSpan w:val="3"/>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0000FF"/>
              </w:rPr>
              <w:t>2.</w:t>
            </w:r>
          </w:p>
        </w:tc>
        <w:tc>
          <w:tcPr>
            <w:tcW w:w="4380" w:type="dxa"/>
            <w:vAlign w:val="bottom"/>
            <w:gridSpan w:val="11"/>
          </w:tcPr>
          <w:p>
            <w:pPr>
              <w:ind w:left="20"/>
              <w:spacing w:after="0"/>
              <w:rPr>
                <w:sz w:val="20"/>
                <w:szCs w:val="20"/>
                <w:color w:val="auto"/>
              </w:rPr>
            </w:pPr>
            <w:r>
              <w:rPr>
                <w:rFonts w:ascii="Times New Roman" w:cs="Times New Roman" w:eastAsia="Times New Roman" w:hAnsi="Times New Roman"/>
                <w:sz w:val="18"/>
                <w:szCs w:val="18"/>
                <w:color w:val="0000FF"/>
                <w:w w:val="99"/>
              </w:rPr>
              <w:t>Unregistered Sales of Equity Securities and Use of Proceeds</w:t>
            </w:r>
          </w:p>
        </w:tc>
        <w:tc>
          <w:tcPr>
            <w:tcW w:w="5220" w:type="dxa"/>
            <w:vAlign w:val="bottom"/>
            <w:gridSpan w:val="3"/>
          </w:tcPr>
          <w:p>
            <w:pPr>
              <w:spacing w:after="0"/>
              <w:rPr>
                <w:sz w:val="22"/>
                <w:szCs w:val="22"/>
                <w:color w:val="auto"/>
              </w:rPr>
            </w:pPr>
          </w:p>
        </w:tc>
        <w:tc>
          <w:tcPr>
            <w:tcW w:w="14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88"/>
              </w:rPr>
              <w:t>3</w:t>
            </w:r>
          </w:p>
        </w:tc>
        <w:tc>
          <w:tcPr>
            <w:tcW w:w="20" w:type="dxa"/>
            <w:vAlign w:val="bottom"/>
          </w:tcPr>
          <w:p>
            <w:pPr>
              <w:spacing w:after="0"/>
              <w:rPr>
                <w:sz w:val="22"/>
                <w:szCs w:val="22"/>
                <w:color w:val="auto"/>
              </w:rPr>
            </w:pPr>
          </w:p>
        </w:tc>
      </w:tr>
      <w:tr>
        <w:trPr>
          <w:trHeight w:val="20"/>
        </w:trPr>
        <w:tc>
          <w:tcPr>
            <w:tcW w:w="2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40" w:type="dxa"/>
            <w:vAlign w:val="bottom"/>
            <w:shd w:val="clear" w:color="auto" w:fill="0000FF"/>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4"/>
        </w:trPr>
        <w:tc>
          <w:tcPr>
            <w:tcW w:w="20" w:type="dxa"/>
            <w:vAlign w:val="bottom"/>
          </w:tcPr>
          <w:p>
            <w:pPr>
              <w:spacing w:after="0"/>
              <w:rPr>
                <w:sz w:val="22"/>
                <w:szCs w:val="22"/>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0000FF"/>
              </w:rPr>
              <w:t>3.</w:t>
            </w:r>
          </w:p>
        </w:tc>
        <w:tc>
          <w:tcPr>
            <w:tcW w:w="4380" w:type="dxa"/>
            <w:vAlign w:val="bottom"/>
            <w:gridSpan w:val="11"/>
          </w:tcPr>
          <w:p>
            <w:pPr>
              <w:ind w:left="20"/>
              <w:spacing w:after="0"/>
              <w:rPr>
                <w:sz w:val="20"/>
                <w:szCs w:val="20"/>
                <w:color w:val="auto"/>
              </w:rPr>
            </w:pPr>
            <w:r>
              <w:rPr>
                <w:rFonts w:ascii="Times New Roman" w:cs="Times New Roman" w:eastAsia="Times New Roman" w:hAnsi="Times New Roman"/>
                <w:sz w:val="18"/>
                <w:szCs w:val="18"/>
                <w:color w:val="0000FF"/>
              </w:rPr>
              <w:t>Defaults Upon Senior Securities</w:t>
            </w:r>
          </w:p>
        </w:tc>
        <w:tc>
          <w:tcPr>
            <w:tcW w:w="5220" w:type="dxa"/>
            <w:vAlign w:val="bottom"/>
            <w:gridSpan w:val="3"/>
          </w:tcPr>
          <w:p>
            <w:pPr>
              <w:spacing w:after="0"/>
              <w:rPr>
                <w:sz w:val="22"/>
                <w:szCs w:val="22"/>
                <w:color w:val="auto"/>
              </w:rPr>
            </w:pPr>
          </w:p>
        </w:tc>
        <w:tc>
          <w:tcPr>
            <w:tcW w:w="14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88"/>
              </w:rPr>
              <w:t>3</w:t>
            </w:r>
          </w:p>
        </w:tc>
        <w:tc>
          <w:tcPr>
            <w:tcW w:w="20" w:type="dxa"/>
            <w:vAlign w:val="bottom"/>
          </w:tcPr>
          <w:p>
            <w:pPr>
              <w:spacing w:after="0"/>
              <w:rPr>
                <w:sz w:val="22"/>
                <w:szCs w:val="22"/>
                <w:color w:val="auto"/>
              </w:rPr>
            </w:pPr>
          </w:p>
        </w:tc>
      </w:tr>
      <w:tr>
        <w:trPr>
          <w:trHeight w:val="20"/>
        </w:trPr>
        <w:tc>
          <w:tcPr>
            <w:tcW w:w="2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540" w:type="dxa"/>
            <w:vAlign w:val="bottom"/>
            <w:tcBorders>
              <w:left w:val="single" w:sz="8" w:color="0000FF"/>
            </w:tcBorders>
            <w:gridSpan w:val="3"/>
            <w:shd w:val="clear" w:color="auto" w:fill="0000FF"/>
          </w:tcPr>
          <w:p>
            <w:pPr>
              <w:spacing w:after="0" w:line="20" w:lineRule="exact"/>
              <w:rPr>
                <w:sz w:val="1"/>
                <w:szCs w:val="1"/>
                <w:color w:val="auto"/>
              </w:rPr>
            </w:pPr>
          </w:p>
        </w:tc>
        <w:tc>
          <w:tcPr>
            <w:tcW w:w="7260" w:type="dxa"/>
            <w:vAlign w:val="bottom"/>
            <w:gridSpan w:val="4"/>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0000FF"/>
              </w:rPr>
              <w:t>4.</w:t>
            </w:r>
          </w:p>
        </w:tc>
        <w:tc>
          <w:tcPr>
            <w:tcW w:w="1800" w:type="dxa"/>
            <w:vAlign w:val="bottom"/>
            <w:gridSpan w:val="7"/>
          </w:tcPr>
          <w:p>
            <w:pPr>
              <w:ind w:left="20"/>
              <w:spacing w:after="0"/>
              <w:rPr>
                <w:sz w:val="20"/>
                <w:szCs w:val="20"/>
                <w:color w:val="auto"/>
              </w:rPr>
            </w:pPr>
            <w:r>
              <w:rPr>
                <w:rFonts w:ascii="Times New Roman" w:cs="Times New Roman" w:eastAsia="Times New Roman" w:hAnsi="Times New Roman"/>
                <w:sz w:val="18"/>
                <w:szCs w:val="18"/>
                <w:color w:val="0000FF"/>
                <w:w w:val="98"/>
              </w:rPr>
              <w:t>Mine Safety Disclosures</w:t>
            </w:r>
          </w:p>
        </w:tc>
        <w:tc>
          <w:tcPr>
            <w:tcW w:w="540" w:type="dxa"/>
            <w:vAlign w:val="bottom"/>
            <w:gridSpan w:val="3"/>
          </w:tcPr>
          <w:p>
            <w:pPr>
              <w:spacing w:after="0"/>
              <w:rPr>
                <w:sz w:val="22"/>
                <w:szCs w:val="22"/>
                <w:color w:val="auto"/>
              </w:rPr>
            </w:pPr>
          </w:p>
        </w:tc>
        <w:tc>
          <w:tcPr>
            <w:tcW w:w="7260" w:type="dxa"/>
            <w:vAlign w:val="bottom"/>
            <w:gridSpan w:val="4"/>
          </w:tcPr>
          <w:p>
            <w:pPr>
              <w:spacing w:after="0"/>
              <w:rPr>
                <w:sz w:val="22"/>
                <w:szCs w:val="22"/>
                <w:color w:val="auto"/>
              </w:rPr>
            </w:pPr>
          </w:p>
        </w:tc>
        <w:tc>
          <w:tcPr>
            <w:tcW w:w="14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88"/>
              </w:rPr>
              <w:t>3</w:t>
            </w:r>
          </w:p>
        </w:tc>
        <w:tc>
          <w:tcPr>
            <w:tcW w:w="20" w:type="dxa"/>
            <w:vAlign w:val="bottom"/>
          </w:tcPr>
          <w:p>
            <w:pPr>
              <w:spacing w:after="0"/>
              <w:rPr>
                <w:sz w:val="22"/>
                <w:szCs w:val="22"/>
                <w:color w:val="auto"/>
              </w:rPr>
            </w:pPr>
          </w:p>
        </w:tc>
      </w:tr>
      <w:tr>
        <w:trPr>
          <w:trHeight w:val="20"/>
        </w:trPr>
        <w:tc>
          <w:tcPr>
            <w:tcW w:w="2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7800" w:type="dxa"/>
            <w:vAlign w:val="bottom"/>
            <w:gridSpan w:val="7"/>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4"/>
        </w:trPr>
        <w:tc>
          <w:tcPr>
            <w:tcW w:w="20" w:type="dxa"/>
            <w:vAlign w:val="bottom"/>
          </w:tcPr>
          <w:p>
            <w:pPr>
              <w:spacing w:after="0"/>
              <w:rPr>
                <w:sz w:val="22"/>
                <w:szCs w:val="22"/>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0000FF"/>
              </w:rPr>
              <w:t>5.</w:t>
            </w:r>
          </w:p>
        </w:tc>
        <w:tc>
          <w:tcPr>
            <w:tcW w:w="134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0000FF"/>
                <w:w w:val="97"/>
              </w:rPr>
              <w:t>Other Information</w:t>
            </w:r>
          </w:p>
        </w:tc>
        <w:tc>
          <w:tcPr>
            <w:tcW w:w="460" w:type="dxa"/>
            <w:vAlign w:val="bottom"/>
            <w:gridSpan w:val="2"/>
          </w:tcPr>
          <w:p>
            <w:pPr>
              <w:spacing w:after="0"/>
              <w:rPr>
                <w:sz w:val="22"/>
                <w:szCs w:val="22"/>
                <w:color w:val="auto"/>
              </w:rPr>
            </w:pPr>
          </w:p>
        </w:tc>
        <w:tc>
          <w:tcPr>
            <w:tcW w:w="7800" w:type="dxa"/>
            <w:vAlign w:val="bottom"/>
            <w:gridSpan w:val="7"/>
          </w:tcPr>
          <w:p>
            <w:pPr>
              <w:spacing w:after="0"/>
              <w:rPr>
                <w:sz w:val="22"/>
                <w:szCs w:val="22"/>
                <w:color w:val="auto"/>
              </w:rPr>
            </w:pPr>
          </w:p>
        </w:tc>
        <w:tc>
          <w:tcPr>
            <w:tcW w:w="14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88"/>
              </w:rPr>
              <w:t>4</w:t>
            </w:r>
          </w:p>
        </w:tc>
        <w:tc>
          <w:tcPr>
            <w:tcW w:w="20" w:type="dxa"/>
            <w:vAlign w:val="bottom"/>
          </w:tcPr>
          <w:p>
            <w:pPr>
              <w:spacing w:after="0"/>
              <w:rPr>
                <w:sz w:val="22"/>
                <w:szCs w:val="22"/>
                <w:color w:val="auto"/>
              </w:rPr>
            </w:pPr>
          </w:p>
        </w:tc>
      </w:tr>
      <w:tr>
        <w:trPr>
          <w:trHeight w:val="20"/>
        </w:trPr>
        <w:tc>
          <w:tcPr>
            <w:tcW w:w="2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8260" w:type="dxa"/>
            <w:vAlign w:val="bottom"/>
            <w:gridSpan w:val="9"/>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0000FF"/>
              </w:rPr>
              <w:t>6.</w:t>
            </w:r>
          </w:p>
        </w:tc>
        <w:tc>
          <w:tcPr>
            <w:tcW w:w="134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0000FF"/>
              </w:rPr>
              <w:t>Exhibits</w:t>
            </w:r>
          </w:p>
        </w:tc>
        <w:tc>
          <w:tcPr>
            <w:tcW w:w="8260" w:type="dxa"/>
            <w:vAlign w:val="bottom"/>
            <w:gridSpan w:val="9"/>
          </w:tcPr>
          <w:p>
            <w:pPr>
              <w:spacing w:after="0"/>
              <w:rPr>
                <w:sz w:val="22"/>
                <w:szCs w:val="22"/>
                <w:color w:val="auto"/>
              </w:rPr>
            </w:pPr>
          </w:p>
        </w:tc>
        <w:tc>
          <w:tcPr>
            <w:tcW w:w="14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88"/>
              </w:rPr>
              <w:t>4</w:t>
            </w:r>
          </w:p>
        </w:tc>
        <w:tc>
          <w:tcPr>
            <w:tcW w:w="20" w:type="dxa"/>
            <w:vAlign w:val="bottom"/>
          </w:tcPr>
          <w:p>
            <w:pPr>
              <w:spacing w:after="0"/>
              <w:rPr>
                <w:sz w:val="22"/>
                <w:szCs w:val="22"/>
                <w:color w:val="auto"/>
              </w:rPr>
            </w:pPr>
          </w:p>
        </w:tc>
      </w:tr>
      <w:tr>
        <w:trPr>
          <w:trHeight w:val="20"/>
        </w:trPr>
        <w:tc>
          <w:tcPr>
            <w:tcW w:w="2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20" w:type="dxa"/>
            <w:vAlign w:val="bottom"/>
            <w:gridSpan w:val="11"/>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58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14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88"/>
              </w:rPr>
              <w:t>5</w:t>
            </w:r>
          </w:p>
        </w:tc>
        <w:tc>
          <w:tcPr>
            <w:tcW w:w="20" w:type="dxa"/>
            <w:vAlign w:val="bottom"/>
          </w:tcPr>
          <w:p>
            <w:pPr>
              <w:spacing w:after="0"/>
              <w:rPr>
                <w:sz w:val="22"/>
                <w:szCs w:val="22"/>
                <w:color w:val="auto"/>
              </w:rPr>
            </w:pPr>
          </w:p>
        </w:tc>
      </w:tr>
      <w:tr>
        <w:trPr>
          <w:trHeight w:val="925"/>
        </w:trPr>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Borders>
              <w:top w:val="single" w:sz="8" w:color="0000FF"/>
            </w:tcBorders>
            <w:gridSpan w:val="2"/>
          </w:tcPr>
          <w:p>
            <w:pPr>
              <w:spacing w:after="0"/>
              <w:rPr>
                <w:sz w:val="24"/>
                <w:szCs w:val="24"/>
                <w:color w:val="auto"/>
              </w:rPr>
            </w:pPr>
          </w:p>
        </w:tc>
        <w:tc>
          <w:tcPr>
            <w:tcW w:w="5680" w:type="dxa"/>
            <w:vAlign w:val="bottom"/>
            <w:gridSpan w:val="9"/>
          </w:tcPr>
          <w:p>
            <w:pPr>
              <w:jc w:val="right"/>
              <w:ind w:right="980"/>
              <w:spacing w:after="0"/>
              <w:rPr>
                <w:sz w:val="20"/>
                <w:szCs w:val="20"/>
                <w:color w:val="auto"/>
              </w:rPr>
            </w:pPr>
            <w:r>
              <w:rPr>
                <w:rFonts w:ascii="Times New Roman" w:cs="Times New Roman" w:eastAsia="Times New Roman" w:hAnsi="Times New Roman"/>
                <w:sz w:val="18"/>
                <w:szCs w:val="18"/>
                <w:color w:val="auto"/>
              </w:rPr>
              <w:t>2</w:t>
            </w:r>
          </w:p>
        </w:tc>
        <w:tc>
          <w:tcPr>
            <w:tcW w:w="3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040" w:type="dxa"/>
            <w:vAlign w:val="bottom"/>
            <w:tcBorders>
              <w:bottom w:val="single" w:sz="8" w:color="9A9A9A"/>
            </w:tcBorders>
          </w:tcPr>
          <w:p>
            <w:pPr>
              <w:spacing w:after="0"/>
              <w:rPr>
                <w:sz w:val="10"/>
                <w:szCs w:val="10"/>
                <w:color w:val="auto"/>
              </w:rPr>
            </w:pPr>
          </w:p>
        </w:tc>
        <w:tc>
          <w:tcPr>
            <w:tcW w:w="2080" w:type="dxa"/>
            <w:vAlign w:val="bottom"/>
            <w:tcBorders>
              <w:bottom w:val="single" w:sz="8" w:color="9A9A9A"/>
            </w:tcBorders>
          </w:tcPr>
          <w:p>
            <w:pPr>
              <w:spacing w:after="0"/>
              <w:rPr>
                <w:sz w:val="10"/>
                <w:szCs w:val="10"/>
                <w:color w:val="auto"/>
              </w:rPr>
            </w:pPr>
          </w:p>
        </w:tc>
        <w:tc>
          <w:tcPr>
            <w:tcW w:w="30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1"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56" w:lineRule="exact"/>
        <w:rPr>
          <w:sz w:val="20"/>
          <w:szCs w:val="20"/>
          <w:color w:val="auto"/>
        </w:rPr>
      </w:pPr>
    </w:p>
    <w:p>
      <w:pPr>
        <w:ind w:firstLine="405"/>
        <w:spacing w:after="0" w:line="282" w:lineRule="auto"/>
        <w:rPr>
          <w:sz w:val="20"/>
          <w:szCs w:val="20"/>
          <w:color w:val="auto"/>
        </w:rPr>
      </w:pPr>
      <w:r>
        <w:rPr>
          <w:rFonts w:ascii="Times New Roman" w:cs="Times New Roman" w:eastAsia="Times New Roman" w:hAnsi="Times New Roman"/>
          <w:sz w:val="18"/>
          <w:szCs w:val="18"/>
          <w:color w:val="auto"/>
        </w:rPr>
        <w:t>As used in this Quarterly Report on Form 10-Q, the terms “Scripps,” “Company,” “we,” “our,” or “us” may, depending on the context, refer to The E.W. Scripps Company, to one or more of its consolidated subsidiary companies, or to all of them taken as a whole.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5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information required by this item is filed as part of this Form 10-Q. See Index to Financial Information at page F-1 of this Form 10-Q.</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5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information required by this item is filed as part of this Form 10-Q. See Index to Financial Information at page F-1 of this Form 10-Q.</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5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information required by this item is filed as part of this Form 10-Q. See Index to Financial Information at page F-1 of this Form 10-Q.</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5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information required by this item is filed as part of this Form 10-Q. See Index to Financial Information at page F-1 of this Form 10-Q.</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56" w:lineRule="exact"/>
        <w:rPr>
          <w:sz w:val="20"/>
          <w:szCs w:val="20"/>
          <w:color w:val="auto"/>
        </w:rPr>
      </w:pPr>
    </w:p>
    <w:p>
      <w:pPr>
        <w:ind w:right="160" w:firstLine="405"/>
        <w:spacing w:after="0" w:line="282" w:lineRule="auto"/>
        <w:rPr>
          <w:sz w:val="20"/>
          <w:szCs w:val="20"/>
          <w:color w:val="auto"/>
        </w:rPr>
      </w:pPr>
      <w:r>
        <w:rPr>
          <w:rFonts w:ascii="Times New Roman" w:cs="Times New Roman" w:eastAsia="Times New Roman" w:hAnsi="Times New Roman"/>
          <w:sz w:val="18"/>
          <w:szCs w:val="18"/>
          <w:color w:val="auto"/>
        </w:rPr>
        <w:t>We are involved in litigation and regulatory proceedings arising in the ordinary course of business, such as defamation actions and governmental proceedings primarily relating to renewal of broadcast licenses, none of which is expected to result in material loss.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5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There have been no material changes to the risk factors disclosed in Item 1A. Risk Factors in our 2024 Annual Report on Form 10-K.</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5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There were no sales of unregistered equity securities during the quarter ended June 30, 2025.</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5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There were no defaults upon senior securities during the quarter ended June 30, 2025.</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5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363"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0"/>
          </w:cols>
          <w:pgMar w:left="320" w:top="887" w:right="57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Director and Officer Trading Arrangements</w:t>
      </w:r>
    </w:p>
    <w:p>
      <w:pPr>
        <w:spacing w:after="0" w:line="243" w:lineRule="exact"/>
        <w:rPr>
          <w:sz w:val="20"/>
          <w:szCs w:val="20"/>
          <w:color w:val="auto"/>
        </w:rPr>
      </w:pPr>
    </w:p>
    <w:p>
      <w:pPr>
        <w:ind w:firstLine="405"/>
        <w:spacing w:after="0" w:line="266" w:lineRule="auto"/>
        <w:rPr>
          <w:sz w:val="20"/>
          <w:szCs w:val="20"/>
          <w:color w:val="auto"/>
        </w:rPr>
      </w:pPr>
      <w:r>
        <w:rPr>
          <w:rFonts w:ascii="Times New Roman" w:cs="Times New Roman" w:eastAsia="Times New Roman" w:hAnsi="Times New Roman"/>
          <w:sz w:val="18"/>
          <w:szCs w:val="18"/>
          <w:color w:val="auto"/>
        </w:rPr>
        <w:t>None of our directors or officers adopted, modified or terminated a Rule 10b5-1 trading arrangement or a non-Rule 10b5-1 trading arrangement (as defined in Item 408(a) of Regulation S-K) during the quarter ended June 30, 2025.</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20" w:type="dxa"/>
            <w:vAlign w:val="bottom"/>
          </w:tcPr>
          <w:p>
            <w:pPr>
              <w:spacing w:after="0"/>
              <w:rPr>
                <w:sz w:val="17"/>
                <w:szCs w:val="17"/>
                <w:color w:val="auto"/>
              </w:rPr>
            </w:pPr>
          </w:p>
        </w:tc>
        <w:tc>
          <w:tcPr>
            <w:tcW w:w="98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Exhibit Description</w:t>
            </w:r>
          </w:p>
        </w:tc>
        <w:tc>
          <w:tcPr>
            <w:tcW w:w="0" w:type="dxa"/>
            <w:vAlign w:val="bottom"/>
          </w:tcPr>
          <w:p>
            <w:pPr>
              <w:spacing w:after="0"/>
              <w:rPr>
                <w:sz w:val="1"/>
                <w:szCs w:val="1"/>
                <w:color w:val="auto"/>
              </w:rPr>
            </w:pPr>
          </w:p>
        </w:tc>
      </w:tr>
      <w:tr>
        <w:trPr>
          <w:trHeight w:val="243"/>
        </w:trPr>
        <w:tc>
          <w:tcPr>
            <w:tcW w:w="12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20" w:type="dxa"/>
            <w:vAlign w:val="bottom"/>
          </w:tcPr>
          <w:p>
            <w:pPr>
              <w:spacing w:after="0"/>
              <w:rPr>
                <w:sz w:val="21"/>
                <w:szCs w:val="21"/>
                <w:color w:val="auto"/>
              </w:rPr>
            </w:pPr>
          </w:p>
        </w:tc>
        <w:tc>
          <w:tcPr>
            <w:tcW w:w="9880" w:type="dxa"/>
            <w:vAlign w:val="bottom"/>
            <w:gridSpan w:val="2"/>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83"/>
        </w:trPr>
        <w:tc>
          <w:tcPr>
            <w:tcW w:w="1120" w:type="dxa"/>
            <w:vAlign w:val="bottom"/>
            <w:tcBorders>
              <w:top w:val="single" w:sz="8" w:color="auto"/>
            </w:tcBorders>
          </w:tcPr>
          <w:p>
            <w:pPr>
              <w:jc w:val="center"/>
              <w:spacing w:after="0" w:line="182" w:lineRule="exact"/>
              <w:rPr>
                <w:sz w:val="20"/>
                <w:szCs w:val="20"/>
                <w:color w:val="auto"/>
              </w:rPr>
            </w:pPr>
            <w:r>
              <w:rPr>
                <w:rFonts w:ascii="Times New Roman" w:cs="Times New Roman" w:eastAsia="Times New Roman" w:hAnsi="Times New Roman"/>
                <w:sz w:val="18"/>
                <w:szCs w:val="18"/>
                <w:color w:val="auto"/>
                <w:w w:val="99"/>
              </w:rPr>
              <w:t>31(a)</w:t>
            </w:r>
          </w:p>
        </w:tc>
        <w:tc>
          <w:tcPr>
            <w:tcW w:w="12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9880" w:type="dxa"/>
            <w:vAlign w:val="bottom"/>
            <w:tcBorders>
              <w:top w:val="single" w:sz="8" w:color="auto"/>
            </w:tcBorders>
            <w:gridSpan w:val="2"/>
          </w:tcPr>
          <w:p>
            <w:pPr>
              <w:spacing w:after="0" w:line="182" w:lineRule="exact"/>
              <w:rPr>
                <w:sz w:val="20"/>
                <w:szCs w:val="20"/>
                <w:color w:val="auto"/>
              </w:rPr>
            </w:pPr>
            <w:r>
              <w:rPr>
                <w:rFonts w:ascii="Times New Roman" w:cs="Times New Roman" w:eastAsia="Times New Roman" w:hAnsi="Times New Roman"/>
                <w:sz w:val="18"/>
                <w:szCs w:val="18"/>
                <w:color w:val="0000FF"/>
              </w:rPr>
              <w:t xml:space="preserve">Section 302 Certifications </w:t>
            </w:r>
            <w:r>
              <w:rPr>
                <w:rFonts w:ascii="Times New Roman" w:cs="Times New Roman" w:eastAsia="Times New Roman" w:hAnsi="Times New Roman"/>
                <w:sz w:val="18"/>
                <w:szCs w:val="18"/>
                <w:color w:val="000000"/>
              </w:rPr>
              <w:t>*</w:t>
            </w:r>
          </w:p>
        </w:tc>
        <w:tc>
          <w:tcPr>
            <w:tcW w:w="0" w:type="dxa"/>
            <w:vAlign w:val="bottom"/>
          </w:tcPr>
          <w:p>
            <w:pPr>
              <w:spacing w:after="0"/>
              <w:rPr>
                <w:sz w:val="1"/>
                <w:szCs w:val="1"/>
                <w:color w:val="auto"/>
              </w:rPr>
            </w:pPr>
          </w:p>
        </w:tc>
      </w:tr>
      <w:tr>
        <w:trPr>
          <w:trHeight w:val="20"/>
        </w:trPr>
        <w:tc>
          <w:tcPr>
            <w:tcW w:w="1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80" w:type="dxa"/>
            <w:vAlign w:val="bottom"/>
            <w:shd w:val="clear" w:color="auto" w:fill="0000FF"/>
          </w:tcPr>
          <w:p>
            <w:pPr>
              <w:spacing w:after="0" w:line="20" w:lineRule="exact"/>
              <w:rPr>
                <w:sz w:val="1"/>
                <w:szCs w:val="1"/>
                <w:color w:val="auto"/>
              </w:rPr>
            </w:pPr>
          </w:p>
        </w:tc>
        <w:tc>
          <w:tcPr>
            <w:tcW w:w="8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7"/>
              </w:rPr>
              <w:t>31(b)</w:t>
            </w:r>
          </w:p>
        </w:tc>
        <w:tc>
          <w:tcPr>
            <w:tcW w:w="20" w:type="dxa"/>
            <w:vAlign w:val="bottom"/>
          </w:tcPr>
          <w:p>
            <w:pPr>
              <w:spacing w:after="0"/>
              <w:rPr>
                <w:sz w:val="18"/>
                <w:szCs w:val="18"/>
                <w:color w:val="auto"/>
              </w:rPr>
            </w:pPr>
          </w:p>
        </w:tc>
        <w:tc>
          <w:tcPr>
            <w:tcW w:w="98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 xml:space="preserve">Section 302 Certifications </w:t>
            </w:r>
            <w:r>
              <w:rPr>
                <w:rFonts w:ascii="Times New Roman" w:cs="Times New Roman" w:eastAsia="Times New Roman" w:hAnsi="Times New Roman"/>
                <w:sz w:val="18"/>
                <w:szCs w:val="18"/>
                <w:color w:val="000000"/>
              </w:rPr>
              <w:t>*</w:t>
            </w:r>
          </w:p>
        </w:tc>
        <w:tc>
          <w:tcPr>
            <w:tcW w:w="0" w:type="dxa"/>
            <w:vAlign w:val="bottom"/>
          </w:tcPr>
          <w:p>
            <w:pPr>
              <w:spacing w:after="0"/>
              <w:rPr>
                <w:sz w:val="1"/>
                <w:szCs w:val="1"/>
                <w:color w:val="auto"/>
              </w:rPr>
            </w:pPr>
          </w:p>
        </w:tc>
      </w:tr>
      <w:tr>
        <w:trPr>
          <w:trHeight w:val="20"/>
        </w:trPr>
        <w:tc>
          <w:tcPr>
            <w:tcW w:w="1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80" w:type="dxa"/>
            <w:vAlign w:val="bottom"/>
            <w:shd w:val="clear" w:color="auto" w:fill="0000FF"/>
          </w:tcPr>
          <w:p>
            <w:pPr>
              <w:spacing w:after="0" w:line="20" w:lineRule="exact"/>
              <w:rPr>
                <w:sz w:val="1"/>
                <w:szCs w:val="1"/>
                <w:color w:val="auto"/>
              </w:rPr>
            </w:pPr>
          </w:p>
        </w:tc>
        <w:tc>
          <w:tcPr>
            <w:tcW w:w="8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32(a)</w:t>
            </w:r>
          </w:p>
        </w:tc>
        <w:tc>
          <w:tcPr>
            <w:tcW w:w="20" w:type="dxa"/>
            <w:vAlign w:val="bottom"/>
          </w:tcPr>
          <w:p>
            <w:pPr>
              <w:spacing w:after="0"/>
              <w:rPr>
                <w:sz w:val="18"/>
                <w:szCs w:val="18"/>
                <w:color w:val="auto"/>
              </w:rPr>
            </w:pPr>
          </w:p>
        </w:tc>
        <w:tc>
          <w:tcPr>
            <w:tcW w:w="98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 xml:space="preserve">Section 906 Certifications </w:t>
            </w:r>
            <w:r>
              <w:rPr>
                <w:rFonts w:ascii="Times New Roman" w:cs="Times New Roman" w:eastAsia="Times New Roman" w:hAnsi="Times New Roman"/>
                <w:sz w:val="18"/>
                <w:szCs w:val="18"/>
                <w:color w:val="000000"/>
              </w:rPr>
              <w:t>*</w:t>
            </w:r>
          </w:p>
        </w:tc>
        <w:tc>
          <w:tcPr>
            <w:tcW w:w="0" w:type="dxa"/>
            <w:vAlign w:val="bottom"/>
          </w:tcPr>
          <w:p>
            <w:pPr>
              <w:spacing w:after="0"/>
              <w:rPr>
                <w:sz w:val="1"/>
                <w:szCs w:val="1"/>
                <w:color w:val="auto"/>
              </w:rPr>
            </w:pPr>
          </w:p>
        </w:tc>
      </w:tr>
      <w:tr>
        <w:trPr>
          <w:trHeight w:val="20"/>
        </w:trPr>
        <w:tc>
          <w:tcPr>
            <w:tcW w:w="1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80" w:type="dxa"/>
            <w:vAlign w:val="bottom"/>
            <w:shd w:val="clear" w:color="auto" w:fill="0000FF"/>
          </w:tcPr>
          <w:p>
            <w:pPr>
              <w:spacing w:after="0" w:line="20" w:lineRule="exact"/>
              <w:rPr>
                <w:sz w:val="1"/>
                <w:szCs w:val="1"/>
                <w:color w:val="auto"/>
              </w:rPr>
            </w:pPr>
          </w:p>
        </w:tc>
        <w:tc>
          <w:tcPr>
            <w:tcW w:w="8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7"/>
              </w:rPr>
              <w:t>32(b)</w:t>
            </w:r>
          </w:p>
        </w:tc>
        <w:tc>
          <w:tcPr>
            <w:tcW w:w="20" w:type="dxa"/>
            <w:vAlign w:val="bottom"/>
          </w:tcPr>
          <w:p>
            <w:pPr>
              <w:spacing w:after="0"/>
              <w:rPr>
                <w:sz w:val="18"/>
                <w:szCs w:val="18"/>
                <w:color w:val="auto"/>
              </w:rPr>
            </w:pPr>
          </w:p>
        </w:tc>
        <w:tc>
          <w:tcPr>
            <w:tcW w:w="98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 xml:space="preserve">Section 906 Certifications </w:t>
            </w:r>
            <w:r>
              <w:rPr>
                <w:rFonts w:ascii="Times New Roman" w:cs="Times New Roman" w:eastAsia="Times New Roman" w:hAnsi="Times New Roman"/>
                <w:sz w:val="18"/>
                <w:szCs w:val="18"/>
                <w:color w:val="000000"/>
              </w:rPr>
              <w:t>*</w:t>
            </w: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80" w:type="dxa"/>
            <w:vAlign w:val="bottom"/>
            <w:shd w:val="clear" w:color="auto" w:fill="0000FF"/>
          </w:tcPr>
          <w:p>
            <w:pPr>
              <w:spacing w:after="0" w:line="20" w:lineRule="exact"/>
              <w:rPr>
                <w:sz w:val="1"/>
                <w:szCs w:val="1"/>
                <w:color w:val="auto"/>
              </w:rPr>
            </w:pPr>
          </w:p>
        </w:tc>
        <w:tc>
          <w:tcPr>
            <w:tcW w:w="8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 w:lineRule="exact"/>
        <w:rPr>
          <w:sz w:val="20"/>
          <w:szCs w:val="20"/>
          <w:color w:val="auto"/>
        </w:rPr>
      </w:pPr>
    </w:p>
    <w:p>
      <w:pPr>
        <w:ind w:left="1260" w:right="220" w:hanging="827"/>
        <w:spacing w:after="0" w:line="181" w:lineRule="auto"/>
        <w:tabs>
          <w:tab w:leader="none" w:pos="1260" w:val="left"/>
        </w:tabs>
        <w:numPr>
          <w:ilvl w:val="0"/>
          <w:numId w:val="3"/>
        </w:numPr>
        <w:rPr>
          <w:rFonts w:ascii="Times New Roman" w:cs="Times New Roman" w:eastAsia="Times New Roman" w:hAnsi="Times New Roman"/>
          <w:sz w:val="31"/>
          <w:szCs w:val="31"/>
          <w:color w:val="auto"/>
          <w:vertAlign w:val="subscript"/>
        </w:rPr>
      </w:pPr>
      <w:r>
        <w:rPr>
          <w:rFonts w:ascii="Times New Roman" w:cs="Times New Roman" w:eastAsia="Times New Roman" w:hAnsi="Times New Roman"/>
          <w:sz w:val="16"/>
          <w:szCs w:val="16"/>
          <w:color w:val="auto"/>
        </w:rPr>
        <w:t>The Company's unaudited Condensed Consolidated Financial Statements and related Notes for the three and six months ended June 30, 2025 from this Quarterly Report on Form 10-Q, formatted in iXBRL (Inline eXtensible Business Reporting Language). *</w:t>
      </w:r>
    </w:p>
    <w:p>
      <w:pPr>
        <w:spacing w:after="0" w:line="11" w:lineRule="exact"/>
        <w:rPr>
          <w:sz w:val="20"/>
          <w:szCs w:val="20"/>
          <w:color w:val="auto"/>
        </w:rPr>
      </w:pPr>
    </w:p>
    <w:p>
      <w:pPr>
        <w:ind w:right="3260" w:firstLine="433"/>
        <w:spacing w:after="0" w:line="673" w:lineRule="auto"/>
        <w:tabs>
          <w:tab w:leader="none" w:pos="1246"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and contained in Exhibit 101). * * - Filed herewith</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87" w:right="35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89" w:lineRule="exact"/>
        <w:rPr>
          <w:sz w:val="20"/>
          <w:szCs w:val="20"/>
          <w:color w:val="auto"/>
        </w:rPr>
      </w:pPr>
    </w:p>
    <w:p>
      <w:pPr>
        <w:ind w:right="540" w:firstLine="405"/>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18"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460" w:type="dxa"/>
            <w:vAlign w:val="bottom"/>
          </w:tcPr>
          <w:p>
            <w:pPr>
              <w:spacing w:after="0"/>
              <w:rPr>
                <w:sz w:val="20"/>
                <w:szCs w:val="20"/>
                <w:color w:val="auto"/>
              </w:rPr>
            </w:pPr>
          </w:p>
        </w:tc>
        <w:tc>
          <w:tcPr>
            <w:tcW w:w="7740" w:type="dxa"/>
            <w:vAlign w:val="bottom"/>
            <w:gridSpan w:val="2"/>
          </w:tcPr>
          <w:p>
            <w:pPr>
              <w:ind w:left="1840"/>
              <w:spacing w:after="0"/>
              <w:rPr>
                <w:sz w:val="20"/>
                <w:szCs w:val="20"/>
                <w:color w:val="auto"/>
              </w:rPr>
            </w:pPr>
            <w:r>
              <w:rPr>
                <w:rFonts w:ascii="Times New Roman" w:cs="Times New Roman" w:eastAsia="Times New Roman" w:hAnsi="Times New Roman"/>
                <w:sz w:val="18"/>
                <w:szCs w:val="18"/>
                <w:color w:val="auto"/>
              </w:rPr>
              <w:t>THE E.W. SCRIPPS COMPANY</w:t>
            </w:r>
          </w:p>
        </w:tc>
      </w:tr>
      <w:tr>
        <w:trPr>
          <w:trHeight w:val="283"/>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Dated: August 8, 2025</w:t>
            </w:r>
          </w:p>
        </w:tc>
        <w:tc>
          <w:tcPr>
            <w:tcW w:w="7740" w:type="dxa"/>
            <w:vAlign w:val="bottom"/>
            <w:gridSpan w:val="2"/>
          </w:tcPr>
          <w:p>
            <w:pPr>
              <w:ind w:left="1840"/>
              <w:spacing w:after="0"/>
              <w:rPr>
                <w:sz w:val="20"/>
                <w:szCs w:val="20"/>
                <w:color w:val="auto"/>
              </w:rPr>
            </w:pPr>
            <w:r>
              <w:rPr>
                <w:rFonts w:ascii="Times New Roman" w:cs="Times New Roman" w:eastAsia="Times New Roman" w:hAnsi="Times New Roman"/>
                <w:sz w:val="18"/>
                <w:szCs w:val="18"/>
                <w:color w:val="auto"/>
              </w:rPr>
              <w:t>By:  /s/ Daniel W. Perschke</w:t>
            </w:r>
          </w:p>
        </w:tc>
      </w:tr>
      <w:tr>
        <w:trPr>
          <w:trHeight w:val="218"/>
        </w:trPr>
        <w:tc>
          <w:tcPr>
            <w:tcW w:w="346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54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Daniel W. Perschke</w:t>
            </w:r>
          </w:p>
        </w:tc>
      </w:tr>
      <w:tr>
        <w:trPr>
          <w:trHeight w:val="229"/>
        </w:trPr>
        <w:tc>
          <w:tcPr>
            <w:tcW w:w="346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5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Vice President, Controller</w:t>
            </w:r>
          </w:p>
        </w:tc>
      </w:tr>
      <w:tr>
        <w:trPr>
          <w:trHeight w:val="234"/>
        </w:trPr>
        <w:tc>
          <w:tcPr>
            <w:tcW w:w="346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5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87" w:right="3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The E.W. Scripps Company</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Index to Financial Information (Unaudited)</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Borders>
              <w:bottom w:val="single" w:sz="8" w:color="auto"/>
            </w:tcBorders>
          </w:tcPr>
          <w:p>
            <w:pPr>
              <w:spacing w:after="0"/>
              <w:rPr>
                <w:sz w:val="20"/>
                <w:szCs w:val="20"/>
                <w:color w:val="auto"/>
              </w:rPr>
            </w:pPr>
          </w:p>
        </w:tc>
        <w:tc>
          <w:tcPr>
            <w:tcW w:w="9660" w:type="dxa"/>
            <w:vAlign w:val="bottom"/>
            <w:tcBorders>
              <w:bottom w:val="single" w:sz="8" w:color="auto"/>
            </w:tcBorders>
            <w:gridSpan w:val="10"/>
          </w:tcPr>
          <w:p>
            <w:pPr>
              <w:spacing w:after="0"/>
              <w:rPr>
                <w:sz w:val="20"/>
                <w:szCs w:val="20"/>
                <w:color w:val="auto"/>
              </w:rPr>
            </w:pPr>
            <w:r>
              <w:rPr>
                <w:rFonts w:ascii="Times New Roman" w:cs="Times New Roman" w:eastAsia="Times New Roman" w:hAnsi="Times New Roman"/>
                <w:sz w:val="18"/>
                <w:szCs w:val="18"/>
                <w:b w:val="1"/>
                <w:bCs w:val="1"/>
                <w:color w:val="auto"/>
              </w:rPr>
              <w:t>Item</w:t>
            </w:r>
          </w:p>
        </w:tc>
        <w:tc>
          <w:tcPr>
            <w:tcW w:w="100" w:type="dxa"/>
            <w:vAlign w:val="bottom"/>
          </w:tcPr>
          <w:p>
            <w:pPr>
              <w:spacing w:after="0"/>
              <w:rPr>
                <w:sz w:val="20"/>
                <w:szCs w:val="20"/>
                <w:color w:val="auto"/>
              </w:rPr>
            </w:pPr>
          </w:p>
        </w:tc>
        <w:tc>
          <w:tcPr>
            <w:tcW w:w="14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Page</w:t>
            </w:r>
          </w:p>
        </w:tc>
      </w:tr>
      <w:tr>
        <w:trPr>
          <w:trHeight w:val="264"/>
        </w:trPr>
        <w:tc>
          <w:tcPr>
            <w:tcW w:w="20" w:type="dxa"/>
            <w:vAlign w:val="bottom"/>
          </w:tcPr>
          <w:p>
            <w:pPr>
              <w:spacing w:after="0"/>
              <w:rPr>
                <w:sz w:val="22"/>
                <w:szCs w:val="22"/>
                <w:color w:val="auto"/>
              </w:rPr>
            </w:pPr>
          </w:p>
        </w:tc>
        <w:tc>
          <w:tcPr>
            <w:tcW w:w="29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9"/>
              </w:rPr>
              <w:t>Condensed Consolidated Balance Sheets</w:t>
            </w:r>
          </w:p>
        </w:tc>
        <w:tc>
          <w:tcPr>
            <w:tcW w:w="6820" w:type="dxa"/>
            <w:vAlign w:val="bottom"/>
            <w:gridSpan w:val="9"/>
          </w:tcPr>
          <w:p>
            <w:pPr>
              <w:spacing w:after="0"/>
              <w:rPr>
                <w:sz w:val="22"/>
                <w:szCs w:val="22"/>
                <w:color w:val="auto"/>
              </w:rPr>
            </w:pPr>
          </w:p>
        </w:tc>
        <w:tc>
          <w:tcPr>
            <w:tcW w:w="600" w:type="dxa"/>
            <w:vAlign w:val="bottom"/>
          </w:tcPr>
          <w:p>
            <w:pPr>
              <w:spacing w:after="0"/>
              <w:rPr>
                <w:sz w:val="22"/>
                <w:szCs w:val="22"/>
                <w:color w:val="auto"/>
              </w:rPr>
            </w:pPr>
          </w:p>
        </w:tc>
        <w:tc>
          <w:tcPr>
            <w:tcW w:w="840" w:type="dxa"/>
            <w:vAlign w:val="bottom"/>
            <w:gridSpan w:val="2"/>
          </w:tcPr>
          <w:p>
            <w:pPr>
              <w:jc w:val="center"/>
              <w:ind w:right="600"/>
              <w:spacing w:after="0"/>
              <w:rPr>
                <w:sz w:val="20"/>
                <w:szCs w:val="20"/>
                <w:color w:val="auto"/>
              </w:rPr>
            </w:pPr>
            <w:r>
              <w:rPr>
                <w:rFonts w:ascii="Times New Roman" w:cs="Times New Roman" w:eastAsia="Times New Roman" w:hAnsi="Times New Roman"/>
                <w:sz w:val="18"/>
                <w:szCs w:val="18"/>
                <w:color w:val="0000FF"/>
                <w:w w:val="95"/>
              </w:rPr>
              <w:t>F-2</w:t>
            </w:r>
          </w:p>
        </w:tc>
      </w:tr>
      <w:tr>
        <w:trPr>
          <w:trHeight w:val="20"/>
        </w:trPr>
        <w:tc>
          <w:tcPr>
            <w:tcW w:w="20" w:type="dxa"/>
            <w:vAlign w:val="bottom"/>
          </w:tcPr>
          <w:p>
            <w:pPr>
              <w:spacing w:after="0" w:line="20" w:lineRule="exact"/>
              <w:rPr>
                <w:sz w:val="1"/>
                <w:szCs w:val="1"/>
                <w:color w:val="auto"/>
              </w:rPr>
            </w:pPr>
          </w:p>
        </w:tc>
        <w:tc>
          <w:tcPr>
            <w:tcW w:w="1780" w:type="dxa"/>
            <w:vAlign w:val="bottom"/>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30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976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rPr>
              <w:t>Condensed Consolidated Statements of Operations</w:t>
            </w:r>
          </w:p>
        </w:tc>
        <w:tc>
          <w:tcPr>
            <w:tcW w:w="600" w:type="dxa"/>
            <w:vAlign w:val="bottom"/>
          </w:tcPr>
          <w:p>
            <w:pPr>
              <w:spacing w:after="0"/>
              <w:rPr>
                <w:sz w:val="22"/>
                <w:szCs w:val="22"/>
                <w:color w:val="auto"/>
              </w:rPr>
            </w:pPr>
          </w:p>
        </w:tc>
        <w:tc>
          <w:tcPr>
            <w:tcW w:w="840" w:type="dxa"/>
            <w:vAlign w:val="bottom"/>
            <w:gridSpan w:val="2"/>
          </w:tcPr>
          <w:p>
            <w:pPr>
              <w:jc w:val="center"/>
              <w:ind w:right="600"/>
              <w:spacing w:after="0"/>
              <w:rPr>
                <w:sz w:val="20"/>
                <w:szCs w:val="20"/>
                <w:color w:val="auto"/>
              </w:rPr>
            </w:pPr>
            <w:r>
              <w:rPr>
                <w:rFonts w:ascii="Times New Roman" w:cs="Times New Roman" w:eastAsia="Times New Roman" w:hAnsi="Times New Roman"/>
                <w:sz w:val="18"/>
                <w:szCs w:val="18"/>
                <w:color w:val="0000FF"/>
                <w:w w:val="95"/>
              </w:rPr>
              <w:t>F-3</w:t>
            </w:r>
          </w:p>
        </w:tc>
      </w:tr>
      <w:tr>
        <w:trPr>
          <w:trHeight w:val="20"/>
        </w:trPr>
        <w:tc>
          <w:tcPr>
            <w:tcW w:w="20" w:type="dxa"/>
            <w:vAlign w:val="bottom"/>
          </w:tcPr>
          <w:p>
            <w:pPr>
              <w:spacing w:after="0" w:line="20" w:lineRule="exact"/>
              <w:rPr>
                <w:sz w:val="1"/>
                <w:szCs w:val="1"/>
                <w:color w:val="auto"/>
              </w:rPr>
            </w:pPr>
          </w:p>
        </w:tc>
        <w:tc>
          <w:tcPr>
            <w:tcW w:w="1780" w:type="dxa"/>
            <w:vAlign w:val="bottom"/>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264"/>
        </w:trPr>
        <w:tc>
          <w:tcPr>
            <w:tcW w:w="20" w:type="dxa"/>
            <w:vAlign w:val="bottom"/>
          </w:tcPr>
          <w:p>
            <w:pPr>
              <w:spacing w:after="0"/>
              <w:rPr>
                <w:sz w:val="22"/>
                <w:szCs w:val="22"/>
                <w:color w:val="auto"/>
              </w:rPr>
            </w:pPr>
          </w:p>
        </w:tc>
        <w:tc>
          <w:tcPr>
            <w:tcW w:w="5100" w:type="dxa"/>
            <w:vAlign w:val="bottom"/>
            <w:gridSpan w:val="8"/>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Comprehensive Income (Loss)</w:t>
            </w:r>
          </w:p>
        </w:tc>
        <w:tc>
          <w:tcPr>
            <w:tcW w:w="4660" w:type="dxa"/>
            <w:vAlign w:val="bottom"/>
            <w:gridSpan w:val="3"/>
          </w:tcPr>
          <w:p>
            <w:pPr>
              <w:spacing w:after="0"/>
              <w:rPr>
                <w:sz w:val="22"/>
                <w:szCs w:val="22"/>
                <w:color w:val="auto"/>
              </w:rPr>
            </w:pPr>
          </w:p>
        </w:tc>
        <w:tc>
          <w:tcPr>
            <w:tcW w:w="600" w:type="dxa"/>
            <w:vAlign w:val="bottom"/>
          </w:tcPr>
          <w:p>
            <w:pPr>
              <w:spacing w:after="0"/>
              <w:rPr>
                <w:sz w:val="22"/>
                <w:szCs w:val="22"/>
                <w:color w:val="auto"/>
              </w:rPr>
            </w:pPr>
          </w:p>
        </w:tc>
        <w:tc>
          <w:tcPr>
            <w:tcW w:w="840" w:type="dxa"/>
            <w:vAlign w:val="bottom"/>
            <w:gridSpan w:val="2"/>
          </w:tcPr>
          <w:p>
            <w:pPr>
              <w:jc w:val="center"/>
              <w:ind w:right="600"/>
              <w:spacing w:after="0"/>
              <w:rPr>
                <w:sz w:val="20"/>
                <w:szCs w:val="20"/>
                <w:color w:val="auto"/>
              </w:rPr>
            </w:pPr>
            <w:r>
              <w:rPr>
                <w:rFonts w:ascii="Times New Roman" w:cs="Times New Roman" w:eastAsia="Times New Roman" w:hAnsi="Times New Roman"/>
                <w:sz w:val="18"/>
                <w:szCs w:val="18"/>
                <w:color w:val="0000FF"/>
                <w:w w:val="95"/>
              </w:rPr>
              <w:t>F-4</w:t>
            </w:r>
          </w:p>
        </w:tc>
      </w:tr>
      <w:tr>
        <w:trPr>
          <w:trHeight w:val="20"/>
        </w:trPr>
        <w:tc>
          <w:tcPr>
            <w:tcW w:w="20" w:type="dxa"/>
            <w:vAlign w:val="bottom"/>
          </w:tcPr>
          <w:p>
            <w:pPr>
              <w:spacing w:after="0" w:line="20" w:lineRule="exact"/>
              <w:rPr>
                <w:sz w:val="1"/>
                <w:szCs w:val="1"/>
                <w:color w:val="auto"/>
              </w:rPr>
            </w:pPr>
          </w:p>
        </w:tc>
        <w:tc>
          <w:tcPr>
            <w:tcW w:w="1780" w:type="dxa"/>
            <w:vAlign w:val="bottom"/>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3720" w:type="dxa"/>
            <w:vAlign w:val="bottom"/>
            <w:gridSpan w:val="5"/>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Cash Flows</w:t>
            </w:r>
          </w:p>
        </w:tc>
        <w:tc>
          <w:tcPr>
            <w:tcW w:w="1380" w:type="dxa"/>
            <w:vAlign w:val="bottom"/>
            <w:gridSpan w:val="3"/>
          </w:tcPr>
          <w:p>
            <w:pPr>
              <w:spacing w:after="0"/>
              <w:rPr>
                <w:sz w:val="22"/>
                <w:szCs w:val="22"/>
                <w:color w:val="auto"/>
              </w:rPr>
            </w:pPr>
          </w:p>
        </w:tc>
        <w:tc>
          <w:tcPr>
            <w:tcW w:w="4660" w:type="dxa"/>
            <w:vAlign w:val="bottom"/>
            <w:gridSpan w:val="3"/>
          </w:tcPr>
          <w:p>
            <w:pPr>
              <w:spacing w:after="0"/>
              <w:rPr>
                <w:sz w:val="22"/>
                <w:szCs w:val="22"/>
                <w:color w:val="auto"/>
              </w:rPr>
            </w:pPr>
          </w:p>
        </w:tc>
        <w:tc>
          <w:tcPr>
            <w:tcW w:w="600" w:type="dxa"/>
            <w:vAlign w:val="bottom"/>
          </w:tcPr>
          <w:p>
            <w:pPr>
              <w:spacing w:after="0"/>
              <w:rPr>
                <w:sz w:val="22"/>
                <w:szCs w:val="22"/>
                <w:color w:val="auto"/>
              </w:rPr>
            </w:pPr>
          </w:p>
        </w:tc>
        <w:tc>
          <w:tcPr>
            <w:tcW w:w="840" w:type="dxa"/>
            <w:vAlign w:val="bottom"/>
            <w:gridSpan w:val="2"/>
          </w:tcPr>
          <w:p>
            <w:pPr>
              <w:jc w:val="center"/>
              <w:ind w:right="600"/>
              <w:spacing w:after="0"/>
              <w:rPr>
                <w:sz w:val="20"/>
                <w:szCs w:val="20"/>
                <w:color w:val="auto"/>
              </w:rPr>
            </w:pPr>
            <w:r>
              <w:rPr>
                <w:rFonts w:ascii="Times New Roman" w:cs="Times New Roman" w:eastAsia="Times New Roman" w:hAnsi="Times New Roman"/>
                <w:sz w:val="18"/>
                <w:szCs w:val="18"/>
                <w:color w:val="0000FF"/>
                <w:w w:val="95"/>
              </w:rPr>
              <w:t>F-5</w:t>
            </w:r>
          </w:p>
        </w:tc>
      </w:tr>
      <w:tr>
        <w:trPr>
          <w:trHeight w:val="20"/>
        </w:trPr>
        <w:tc>
          <w:tcPr>
            <w:tcW w:w="20" w:type="dxa"/>
            <w:vAlign w:val="bottom"/>
          </w:tcPr>
          <w:p>
            <w:pPr>
              <w:spacing w:after="0" w:line="20" w:lineRule="exact"/>
              <w:rPr>
                <w:sz w:val="1"/>
                <w:szCs w:val="1"/>
                <w:color w:val="auto"/>
              </w:rPr>
            </w:pPr>
          </w:p>
        </w:tc>
        <w:tc>
          <w:tcPr>
            <w:tcW w:w="1780" w:type="dxa"/>
            <w:vAlign w:val="bottom"/>
            <w:shd w:val="clear" w:color="auto" w:fill="0000FF"/>
          </w:tcPr>
          <w:p>
            <w:pPr>
              <w:spacing w:after="0" w:line="20" w:lineRule="exact"/>
              <w:rPr>
                <w:sz w:val="1"/>
                <w:szCs w:val="1"/>
                <w:color w:val="auto"/>
              </w:rPr>
            </w:pPr>
          </w:p>
        </w:tc>
        <w:tc>
          <w:tcPr>
            <w:tcW w:w="1580" w:type="dxa"/>
            <w:vAlign w:val="bottom"/>
            <w:gridSpan w:val="2"/>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330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3360" w:type="dxa"/>
            <w:vAlign w:val="bottom"/>
            <w:gridSpan w:val="3"/>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Equity</w:t>
            </w:r>
          </w:p>
        </w:tc>
        <w:tc>
          <w:tcPr>
            <w:tcW w:w="360" w:type="dxa"/>
            <w:vAlign w:val="bottom"/>
            <w:gridSpan w:val="2"/>
          </w:tcPr>
          <w:p>
            <w:pPr>
              <w:spacing w:after="0"/>
              <w:rPr>
                <w:sz w:val="22"/>
                <w:szCs w:val="22"/>
                <w:color w:val="auto"/>
              </w:rPr>
            </w:pPr>
          </w:p>
        </w:tc>
        <w:tc>
          <w:tcPr>
            <w:tcW w:w="6040" w:type="dxa"/>
            <w:vAlign w:val="bottom"/>
            <w:gridSpan w:val="6"/>
          </w:tcPr>
          <w:p>
            <w:pPr>
              <w:spacing w:after="0"/>
              <w:rPr>
                <w:sz w:val="22"/>
                <w:szCs w:val="22"/>
                <w:color w:val="auto"/>
              </w:rPr>
            </w:pPr>
          </w:p>
        </w:tc>
        <w:tc>
          <w:tcPr>
            <w:tcW w:w="600" w:type="dxa"/>
            <w:vAlign w:val="bottom"/>
          </w:tcPr>
          <w:p>
            <w:pPr>
              <w:spacing w:after="0"/>
              <w:rPr>
                <w:sz w:val="22"/>
                <w:szCs w:val="22"/>
                <w:color w:val="auto"/>
              </w:rPr>
            </w:pPr>
          </w:p>
        </w:tc>
        <w:tc>
          <w:tcPr>
            <w:tcW w:w="840" w:type="dxa"/>
            <w:vAlign w:val="bottom"/>
            <w:gridSpan w:val="2"/>
          </w:tcPr>
          <w:p>
            <w:pPr>
              <w:jc w:val="center"/>
              <w:ind w:right="600"/>
              <w:spacing w:after="0"/>
              <w:rPr>
                <w:sz w:val="20"/>
                <w:szCs w:val="20"/>
                <w:color w:val="auto"/>
              </w:rPr>
            </w:pPr>
            <w:r>
              <w:rPr>
                <w:rFonts w:ascii="Times New Roman" w:cs="Times New Roman" w:eastAsia="Times New Roman" w:hAnsi="Times New Roman"/>
                <w:sz w:val="18"/>
                <w:szCs w:val="18"/>
                <w:color w:val="0000FF"/>
                <w:w w:val="95"/>
              </w:rPr>
              <w:t>F-6</w:t>
            </w:r>
          </w:p>
        </w:tc>
      </w:tr>
      <w:tr>
        <w:trPr>
          <w:trHeight w:val="20"/>
        </w:trPr>
        <w:tc>
          <w:tcPr>
            <w:tcW w:w="20" w:type="dxa"/>
            <w:vAlign w:val="bottom"/>
          </w:tcPr>
          <w:p>
            <w:pPr>
              <w:spacing w:after="0" w:line="20" w:lineRule="exact"/>
              <w:rPr>
                <w:sz w:val="1"/>
                <w:szCs w:val="1"/>
                <w:color w:val="auto"/>
              </w:rPr>
            </w:pPr>
          </w:p>
        </w:tc>
        <w:tc>
          <w:tcPr>
            <w:tcW w:w="1780" w:type="dxa"/>
            <w:vAlign w:val="bottom"/>
            <w:shd w:val="clear" w:color="auto" w:fill="0000FF"/>
          </w:tcPr>
          <w:p>
            <w:pPr>
              <w:spacing w:after="0" w:line="20" w:lineRule="exact"/>
              <w:rPr>
                <w:sz w:val="1"/>
                <w:szCs w:val="1"/>
                <w:color w:val="auto"/>
              </w:rPr>
            </w:pPr>
          </w:p>
        </w:tc>
        <w:tc>
          <w:tcPr>
            <w:tcW w:w="1580" w:type="dxa"/>
            <w:vAlign w:val="bottom"/>
            <w:gridSpan w:val="2"/>
            <w:shd w:val="clear" w:color="auto" w:fill="0000FF"/>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330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264"/>
        </w:trPr>
        <w:tc>
          <w:tcPr>
            <w:tcW w:w="20" w:type="dxa"/>
            <w:vAlign w:val="bottom"/>
          </w:tcPr>
          <w:p>
            <w:pPr>
              <w:spacing w:after="0"/>
              <w:rPr>
                <w:sz w:val="22"/>
                <w:szCs w:val="22"/>
                <w:color w:val="auto"/>
              </w:rPr>
            </w:pPr>
          </w:p>
        </w:tc>
        <w:tc>
          <w:tcPr>
            <w:tcW w:w="4000" w:type="dxa"/>
            <w:vAlign w:val="bottom"/>
            <w:gridSpan w:val="6"/>
          </w:tcPr>
          <w:p>
            <w:pPr>
              <w:spacing w:after="0"/>
              <w:rPr>
                <w:sz w:val="20"/>
                <w:szCs w:val="20"/>
                <w:color w:val="auto"/>
              </w:rPr>
            </w:pPr>
            <w:r>
              <w:rPr>
                <w:rFonts w:ascii="Times New Roman" w:cs="Times New Roman" w:eastAsia="Times New Roman" w:hAnsi="Times New Roman"/>
                <w:sz w:val="18"/>
                <w:szCs w:val="18"/>
                <w:color w:val="0000FF"/>
                <w:w w:val="99"/>
              </w:rPr>
              <w:t>Notes to Condensed Consolidated Financial Statements</w:t>
            </w:r>
          </w:p>
        </w:tc>
        <w:tc>
          <w:tcPr>
            <w:tcW w:w="5760" w:type="dxa"/>
            <w:vAlign w:val="bottom"/>
            <w:gridSpan w:val="5"/>
          </w:tcPr>
          <w:p>
            <w:pPr>
              <w:spacing w:after="0"/>
              <w:rPr>
                <w:sz w:val="22"/>
                <w:szCs w:val="22"/>
                <w:color w:val="auto"/>
              </w:rPr>
            </w:pPr>
          </w:p>
        </w:tc>
        <w:tc>
          <w:tcPr>
            <w:tcW w:w="600" w:type="dxa"/>
            <w:vAlign w:val="bottom"/>
          </w:tcPr>
          <w:p>
            <w:pPr>
              <w:spacing w:after="0"/>
              <w:rPr>
                <w:sz w:val="22"/>
                <w:szCs w:val="22"/>
                <w:color w:val="auto"/>
              </w:rPr>
            </w:pPr>
          </w:p>
        </w:tc>
        <w:tc>
          <w:tcPr>
            <w:tcW w:w="840" w:type="dxa"/>
            <w:vAlign w:val="bottom"/>
            <w:gridSpan w:val="2"/>
          </w:tcPr>
          <w:p>
            <w:pPr>
              <w:jc w:val="center"/>
              <w:ind w:right="600"/>
              <w:spacing w:after="0"/>
              <w:rPr>
                <w:sz w:val="20"/>
                <w:szCs w:val="20"/>
                <w:color w:val="auto"/>
              </w:rPr>
            </w:pPr>
            <w:r>
              <w:rPr>
                <w:rFonts w:ascii="Times New Roman" w:cs="Times New Roman" w:eastAsia="Times New Roman" w:hAnsi="Times New Roman"/>
                <w:sz w:val="18"/>
                <w:szCs w:val="18"/>
                <w:color w:val="0000FF"/>
                <w:w w:val="95"/>
              </w:rPr>
              <w:t>F-7</w:t>
            </w:r>
          </w:p>
        </w:tc>
      </w:tr>
      <w:tr>
        <w:trPr>
          <w:trHeight w:val="20"/>
        </w:trPr>
        <w:tc>
          <w:tcPr>
            <w:tcW w:w="20" w:type="dxa"/>
            <w:vAlign w:val="bottom"/>
          </w:tcPr>
          <w:p>
            <w:pPr>
              <w:spacing w:after="0" w:line="20" w:lineRule="exact"/>
              <w:rPr>
                <w:sz w:val="1"/>
                <w:szCs w:val="1"/>
                <w:color w:val="auto"/>
              </w:rPr>
            </w:pPr>
          </w:p>
        </w:tc>
        <w:tc>
          <w:tcPr>
            <w:tcW w:w="1780" w:type="dxa"/>
            <w:vAlign w:val="bottom"/>
            <w:shd w:val="clear" w:color="auto" w:fill="0000FF"/>
          </w:tcPr>
          <w:p>
            <w:pPr>
              <w:spacing w:after="0" w:line="20" w:lineRule="exact"/>
              <w:rPr>
                <w:sz w:val="1"/>
                <w:szCs w:val="1"/>
                <w:color w:val="auto"/>
              </w:rPr>
            </w:pPr>
          </w:p>
        </w:tc>
        <w:tc>
          <w:tcPr>
            <w:tcW w:w="2220" w:type="dxa"/>
            <w:vAlign w:val="bottom"/>
            <w:gridSpan w:val="5"/>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330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976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1440" w:type="dxa"/>
            <w:vAlign w:val="bottom"/>
            <w:gridSpan w:val="3"/>
          </w:tcPr>
          <w:p>
            <w:pPr>
              <w:jc w:val="center"/>
              <w:ind w:right="20"/>
              <w:spacing w:after="0"/>
              <w:rPr>
                <w:sz w:val="20"/>
                <w:szCs w:val="20"/>
                <w:color w:val="auto"/>
              </w:rPr>
            </w:pPr>
            <w:r>
              <w:rPr>
                <w:rFonts w:ascii="Times New Roman" w:cs="Times New Roman" w:eastAsia="Times New Roman" w:hAnsi="Times New Roman"/>
                <w:sz w:val="18"/>
                <w:szCs w:val="18"/>
                <w:color w:val="0000FF"/>
                <w:w w:val="99"/>
              </w:rPr>
              <w:t>F-24</w:t>
            </w:r>
          </w:p>
        </w:tc>
      </w:tr>
      <w:tr>
        <w:trPr>
          <w:trHeight w:val="20"/>
        </w:trPr>
        <w:tc>
          <w:tcPr>
            <w:tcW w:w="20" w:type="dxa"/>
            <w:vAlign w:val="bottom"/>
          </w:tcPr>
          <w:p>
            <w:pPr>
              <w:spacing w:after="0" w:line="20" w:lineRule="exact"/>
              <w:rPr>
                <w:sz w:val="1"/>
                <w:szCs w:val="1"/>
                <w:color w:val="auto"/>
              </w:rPr>
            </w:pPr>
          </w:p>
        </w:tc>
        <w:tc>
          <w:tcPr>
            <w:tcW w:w="1780" w:type="dxa"/>
            <w:vAlign w:val="bottom"/>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right w:val="single" w:sz="8" w:color="0000FF"/>
            </w:tcBorders>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00" w:type="dxa"/>
            <w:vAlign w:val="bottom"/>
            <w:tcBorders>
              <w:left w:val="single" w:sz="8" w:color="0000FF"/>
            </w:tcBorders>
          </w:tcPr>
          <w:p>
            <w:pPr>
              <w:spacing w:after="0" w:line="20" w:lineRule="exact"/>
              <w:rPr>
                <w:sz w:val="1"/>
                <w:szCs w:val="1"/>
                <w:color w:val="auto"/>
              </w:rPr>
            </w:pPr>
          </w:p>
        </w:tc>
      </w:tr>
      <w:tr>
        <w:trPr>
          <w:trHeight w:val="264"/>
        </w:trPr>
        <w:tc>
          <w:tcPr>
            <w:tcW w:w="20" w:type="dxa"/>
            <w:vAlign w:val="bottom"/>
          </w:tcPr>
          <w:p>
            <w:pPr>
              <w:spacing w:after="0"/>
              <w:rPr>
                <w:sz w:val="22"/>
                <w:szCs w:val="22"/>
                <w:color w:val="auto"/>
              </w:rPr>
            </w:pPr>
          </w:p>
        </w:tc>
        <w:tc>
          <w:tcPr>
            <w:tcW w:w="646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3300" w:type="dxa"/>
            <w:vAlign w:val="bottom"/>
            <w:gridSpan w:val="2"/>
          </w:tcPr>
          <w:p>
            <w:pPr>
              <w:spacing w:after="0"/>
              <w:rPr>
                <w:sz w:val="22"/>
                <w:szCs w:val="22"/>
                <w:color w:val="auto"/>
              </w:rPr>
            </w:pPr>
          </w:p>
        </w:tc>
        <w:tc>
          <w:tcPr>
            <w:tcW w:w="600" w:type="dxa"/>
            <w:vAlign w:val="bottom"/>
          </w:tcPr>
          <w:p>
            <w:pPr>
              <w:spacing w:after="0"/>
              <w:rPr>
                <w:sz w:val="22"/>
                <w:szCs w:val="22"/>
                <w:color w:val="auto"/>
              </w:rPr>
            </w:pPr>
          </w:p>
        </w:tc>
        <w:tc>
          <w:tcPr>
            <w:tcW w:w="840" w:type="dxa"/>
            <w:vAlign w:val="bottom"/>
            <w:gridSpan w:val="2"/>
          </w:tcPr>
          <w:p>
            <w:pPr>
              <w:jc w:val="center"/>
              <w:ind w:right="560"/>
              <w:spacing w:after="0"/>
              <w:rPr>
                <w:sz w:val="20"/>
                <w:szCs w:val="20"/>
                <w:color w:val="auto"/>
              </w:rPr>
            </w:pPr>
            <w:r>
              <w:rPr>
                <w:rFonts w:ascii="Times New Roman" w:cs="Times New Roman" w:eastAsia="Times New Roman" w:hAnsi="Times New Roman"/>
                <w:sz w:val="18"/>
                <w:szCs w:val="18"/>
                <w:color w:val="0000FF"/>
                <w:w w:val="82"/>
              </w:rPr>
              <w:t>F-34</w:t>
            </w:r>
          </w:p>
        </w:tc>
      </w:tr>
      <w:tr>
        <w:trPr>
          <w:trHeight w:val="20"/>
        </w:trPr>
        <w:tc>
          <w:tcPr>
            <w:tcW w:w="20" w:type="dxa"/>
            <w:vAlign w:val="bottom"/>
          </w:tcPr>
          <w:p>
            <w:pPr>
              <w:spacing w:after="0" w:line="20" w:lineRule="exact"/>
              <w:rPr>
                <w:sz w:val="1"/>
                <w:szCs w:val="1"/>
                <w:color w:val="auto"/>
              </w:rPr>
            </w:pPr>
          </w:p>
        </w:tc>
        <w:tc>
          <w:tcPr>
            <w:tcW w:w="1780" w:type="dxa"/>
            <w:vAlign w:val="bottom"/>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right w:val="single" w:sz="8" w:color="0000FF"/>
            </w:tcBorders>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00" w:type="dxa"/>
            <w:vAlign w:val="bottom"/>
            <w:tcBorders>
              <w:left w:val="single" w:sz="8" w:color="0000FF"/>
            </w:tcBorders>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1780" w:type="dxa"/>
            <w:vAlign w:val="bottom"/>
          </w:tcPr>
          <w:p>
            <w:pPr>
              <w:spacing w:after="0"/>
              <w:rPr>
                <w:sz w:val="20"/>
                <w:szCs w:val="20"/>
                <w:color w:val="auto"/>
              </w:rPr>
            </w:pPr>
            <w:r>
              <w:rPr>
                <w:rFonts w:ascii="Times New Roman" w:cs="Times New Roman" w:eastAsia="Times New Roman" w:hAnsi="Times New Roman"/>
                <w:sz w:val="18"/>
                <w:szCs w:val="18"/>
                <w:color w:val="0000FF"/>
                <w:w w:val="99"/>
              </w:rPr>
              <w:t>Controls and Procedures</w:t>
            </w:r>
          </w:p>
        </w:tc>
        <w:tc>
          <w:tcPr>
            <w:tcW w:w="2580" w:type="dxa"/>
            <w:vAlign w:val="bottom"/>
            <w:gridSpan w:val="6"/>
          </w:tcPr>
          <w:p>
            <w:pPr>
              <w:spacing w:after="0"/>
              <w:rPr>
                <w:sz w:val="22"/>
                <w:szCs w:val="22"/>
                <w:color w:val="auto"/>
              </w:rPr>
            </w:pPr>
          </w:p>
        </w:tc>
        <w:tc>
          <w:tcPr>
            <w:tcW w:w="5400" w:type="dxa"/>
            <w:vAlign w:val="bottom"/>
            <w:gridSpan w:val="4"/>
          </w:tcPr>
          <w:p>
            <w:pPr>
              <w:spacing w:after="0"/>
              <w:rPr>
                <w:sz w:val="22"/>
                <w:szCs w:val="22"/>
                <w:color w:val="auto"/>
              </w:rPr>
            </w:pPr>
          </w:p>
        </w:tc>
        <w:tc>
          <w:tcPr>
            <w:tcW w:w="600" w:type="dxa"/>
            <w:vAlign w:val="bottom"/>
          </w:tcPr>
          <w:p>
            <w:pPr>
              <w:spacing w:after="0"/>
              <w:rPr>
                <w:sz w:val="22"/>
                <w:szCs w:val="22"/>
                <w:color w:val="auto"/>
              </w:rPr>
            </w:pPr>
          </w:p>
        </w:tc>
        <w:tc>
          <w:tcPr>
            <w:tcW w:w="840" w:type="dxa"/>
            <w:vAlign w:val="bottom"/>
            <w:gridSpan w:val="2"/>
          </w:tcPr>
          <w:p>
            <w:pPr>
              <w:jc w:val="center"/>
              <w:ind w:right="560"/>
              <w:spacing w:after="0"/>
              <w:rPr>
                <w:sz w:val="20"/>
                <w:szCs w:val="20"/>
                <w:color w:val="auto"/>
              </w:rPr>
            </w:pPr>
            <w:r>
              <w:rPr>
                <w:rFonts w:ascii="Times New Roman" w:cs="Times New Roman" w:eastAsia="Times New Roman" w:hAnsi="Times New Roman"/>
                <w:sz w:val="18"/>
                <w:szCs w:val="18"/>
                <w:color w:val="0000FF"/>
                <w:w w:val="82"/>
              </w:rPr>
              <w:t>F-35</w:t>
            </w:r>
          </w:p>
        </w:tc>
      </w:tr>
      <w:tr>
        <w:trPr>
          <w:trHeight w:val="20"/>
        </w:trPr>
        <w:tc>
          <w:tcPr>
            <w:tcW w:w="20" w:type="dxa"/>
            <w:vAlign w:val="bottom"/>
          </w:tcPr>
          <w:p>
            <w:pPr>
              <w:spacing w:after="0" w:line="20" w:lineRule="exact"/>
              <w:rPr>
                <w:sz w:val="1"/>
                <w:szCs w:val="1"/>
                <w:color w:val="auto"/>
              </w:rPr>
            </w:pPr>
          </w:p>
        </w:tc>
        <w:tc>
          <w:tcPr>
            <w:tcW w:w="1780" w:type="dxa"/>
            <w:vAlign w:val="bottom"/>
            <w:shd w:val="clear" w:color="auto" w:fill="0000FF"/>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right w:val="single" w:sz="8" w:color="0000FF"/>
            </w:tcBorders>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00" w:type="dxa"/>
            <w:vAlign w:val="bottom"/>
            <w:tcBorders>
              <w:left w:val="single" w:sz="8" w:color="0000FF"/>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87" w:right="35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The E.W. Scripps Company</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 (Unaudited)</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2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As of</w:t>
            </w:r>
          </w:p>
        </w:tc>
        <w:tc>
          <w:tcPr>
            <w:tcW w:w="160" w:type="dxa"/>
            <w:vAlign w:val="bottom"/>
          </w:tcPr>
          <w:p>
            <w:pPr>
              <w:spacing w:after="0"/>
              <w:rPr>
                <w:sz w:val="17"/>
                <w:szCs w:val="17"/>
                <w:color w:val="auto"/>
              </w:rPr>
            </w:pPr>
          </w:p>
        </w:tc>
        <w:tc>
          <w:tcPr>
            <w:tcW w:w="132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As of</w:t>
            </w:r>
          </w:p>
        </w:tc>
      </w:tr>
      <w:tr>
        <w:trPr>
          <w:trHeight w:val="184"/>
        </w:trPr>
        <w:tc>
          <w:tcPr>
            <w:tcW w:w="8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20" w:type="dxa"/>
            <w:vAlign w:val="bottom"/>
            <w:gridSpan w:val="2"/>
          </w:tcPr>
          <w:p>
            <w:pPr>
              <w:ind w:left="160"/>
              <w:spacing w:after="0" w:line="184" w:lineRule="exact"/>
              <w:rPr>
                <w:sz w:val="20"/>
                <w:szCs w:val="20"/>
                <w:color w:val="auto"/>
              </w:rPr>
            </w:pPr>
            <w:r>
              <w:rPr>
                <w:rFonts w:ascii="Times New Roman" w:cs="Times New Roman" w:eastAsia="Times New Roman" w:hAnsi="Times New Roman"/>
                <w:sz w:val="18"/>
                <w:szCs w:val="18"/>
                <w:color w:val="auto"/>
              </w:rPr>
              <w:t>June 30,</w:t>
            </w:r>
          </w:p>
        </w:tc>
        <w:tc>
          <w:tcPr>
            <w:tcW w:w="160" w:type="dxa"/>
            <w:vAlign w:val="bottom"/>
          </w:tcPr>
          <w:p>
            <w:pPr>
              <w:spacing w:after="0"/>
              <w:rPr>
                <w:sz w:val="16"/>
                <w:szCs w:val="16"/>
                <w:color w:val="auto"/>
              </w:rPr>
            </w:pPr>
          </w:p>
        </w:tc>
        <w:tc>
          <w:tcPr>
            <w:tcW w:w="1320" w:type="dxa"/>
            <w:vAlign w:val="bottom"/>
          </w:tcPr>
          <w:p>
            <w:pPr>
              <w:jc w:val="right"/>
              <w:ind w:right="170"/>
              <w:spacing w:after="0" w:line="184" w:lineRule="exact"/>
              <w:rPr>
                <w:sz w:val="20"/>
                <w:szCs w:val="20"/>
                <w:color w:val="auto"/>
              </w:rPr>
            </w:pPr>
            <w:r>
              <w:rPr>
                <w:rFonts w:ascii="Times New Roman" w:cs="Times New Roman" w:eastAsia="Times New Roman" w:hAnsi="Times New Roman"/>
                <w:sz w:val="18"/>
                <w:szCs w:val="18"/>
                <w:color w:val="auto"/>
              </w:rPr>
              <w:t>December 31,</w:t>
            </w:r>
          </w:p>
        </w:tc>
      </w:tr>
      <w:tr>
        <w:trPr>
          <w:trHeight w:val="234"/>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 thousands, except share data)</w:t>
            </w:r>
          </w:p>
        </w:tc>
        <w:tc>
          <w:tcPr>
            <w:tcW w:w="260" w:type="dxa"/>
            <w:vAlign w:val="bottom"/>
          </w:tcPr>
          <w:p>
            <w:pPr>
              <w:spacing w:after="0"/>
              <w:rPr>
                <w:sz w:val="20"/>
                <w:szCs w:val="20"/>
                <w:color w:val="auto"/>
              </w:rPr>
            </w:pPr>
          </w:p>
        </w:tc>
        <w:tc>
          <w:tcPr>
            <w:tcW w:w="122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2024</w:t>
            </w:r>
          </w:p>
        </w:tc>
      </w:tr>
      <w:tr>
        <w:trPr>
          <w:trHeight w:val="34"/>
        </w:trPr>
        <w:tc>
          <w:tcPr>
            <w:tcW w:w="80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top w:val="single" w:sz="8" w:color="auto"/>
            </w:tcBorders>
          </w:tcPr>
          <w:p>
            <w:pPr>
              <w:spacing w:after="0"/>
              <w:rPr>
                <w:sz w:val="2"/>
                <w:szCs w:val="2"/>
                <w:color w:val="auto"/>
              </w:rPr>
            </w:pPr>
          </w:p>
        </w:tc>
        <w:tc>
          <w:tcPr>
            <w:tcW w:w="122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1320" w:type="dxa"/>
            <w:vAlign w:val="bottom"/>
            <w:tcBorders>
              <w:top w:val="single" w:sz="8" w:color="auto"/>
            </w:tcBorders>
          </w:tcPr>
          <w:p>
            <w:pPr>
              <w:spacing w:after="0"/>
              <w:rPr>
                <w:sz w:val="2"/>
                <w:szCs w:val="2"/>
                <w:color w:val="auto"/>
              </w:rPr>
            </w:pPr>
          </w:p>
        </w:tc>
      </w:tr>
      <w:tr>
        <w:trPr>
          <w:trHeight w:val="229"/>
        </w:trPr>
        <w:tc>
          <w:tcPr>
            <w:tcW w:w="8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r>
      <w:tr>
        <w:trPr>
          <w:trHeight w:val="230"/>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29"/>
        </w:trPr>
        <w:tc>
          <w:tcPr>
            <w:tcW w:w="81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31,660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23,852</w:t>
            </w:r>
          </w:p>
        </w:tc>
      </w:tr>
      <w:tr>
        <w:trPr>
          <w:trHeight w:val="230"/>
        </w:trPr>
        <w:tc>
          <w:tcPr>
            <w:tcW w:w="81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Accounts receivable (less allowances — $8,457 and $7,449)</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553,873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568,193</w:t>
            </w:r>
          </w:p>
        </w:tc>
      </w:tr>
      <w:tr>
        <w:trPr>
          <w:trHeight w:val="229"/>
        </w:trPr>
        <w:tc>
          <w:tcPr>
            <w:tcW w:w="81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Miscellaneous</w:t>
            </w:r>
          </w:p>
        </w:tc>
        <w:tc>
          <w:tcPr>
            <w:tcW w:w="2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38,335</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37,970</w:t>
            </w:r>
          </w:p>
        </w:tc>
      </w:tr>
      <w:tr>
        <w:trPr>
          <w:trHeight w:val="223"/>
        </w:trPr>
        <w:tc>
          <w:tcPr>
            <w:tcW w:w="81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Total current assets</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623,868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630,015</w:t>
            </w:r>
          </w:p>
        </w:tc>
      </w:tr>
      <w:tr>
        <w:trPr>
          <w:trHeight w:val="229"/>
        </w:trPr>
        <w:tc>
          <w:tcPr>
            <w:tcW w:w="8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Investments</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15,323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8,884</w:t>
            </w:r>
          </w:p>
        </w:tc>
      </w:tr>
      <w:tr>
        <w:trPr>
          <w:trHeight w:val="229"/>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Property and equipment</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428,264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453,900</w:t>
            </w:r>
          </w:p>
        </w:tc>
      </w:tr>
      <w:tr>
        <w:trPr>
          <w:trHeight w:val="230"/>
        </w:trPr>
        <w:tc>
          <w:tcPr>
            <w:tcW w:w="8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88,298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90,136</w:t>
            </w:r>
          </w:p>
        </w:tc>
      </w:tr>
      <w:tr>
        <w:trPr>
          <w:trHeight w:val="229"/>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1,968,574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1,968,574</w:t>
            </w:r>
          </w:p>
        </w:tc>
      </w:tr>
      <w:tr>
        <w:trPr>
          <w:trHeight w:val="229"/>
        </w:trPr>
        <w:tc>
          <w:tcPr>
            <w:tcW w:w="8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intangible assets</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1,590,521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1,635,488</w:t>
            </w:r>
          </w:p>
        </w:tc>
      </w:tr>
      <w:tr>
        <w:trPr>
          <w:trHeight w:val="230"/>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Programming</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341,231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402,459</w:t>
            </w:r>
          </w:p>
        </w:tc>
      </w:tr>
      <w:tr>
        <w:trPr>
          <w:trHeight w:val="229"/>
        </w:trPr>
        <w:tc>
          <w:tcPr>
            <w:tcW w:w="8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Miscellaneous</w:t>
            </w:r>
          </w:p>
        </w:tc>
        <w:tc>
          <w:tcPr>
            <w:tcW w:w="2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31,658</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9,119</w:t>
            </w:r>
          </w:p>
        </w:tc>
      </w:tr>
      <w:tr>
        <w:trPr>
          <w:trHeight w:val="223"/>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5,087,737</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5,198,575</w:t>
            </w:r>
          </w:p>
        </w:tc>
      </w:tr>
      <w:tr>
        <w:trPr>
          <w:trHeight w:val="20"/>
        </w:trPr>
        <w:tc>
          <w:tcPr>
            <w:tcW w:w="80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75"/>
        </w:trPr>
        <w:tc>
          <w:tcPr>
            <w:tcW w:w="80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12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320" w:type="dxa"/>
            <w:vAlign w:val="bottom"/>
            <w:shd w:val="clear" w:color="auto" w:fill="CCEEFF"/>
          </w:tcPr>
          <w:p>
            <w:pPr>
              <w:spacing w:after="0"/>
              <w:rPr>
                <w:sz w:val="6"/>
                <w:szCs w:val="6"/>
                <w:color w:val="auto"/>
              </w:rPr>
            </w:pPr>
          </w:p>
        </w:tc>
      </w:tr>
      <w:tr>
        <w:trPr>
          <w:trHeight w:val="229"/>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Liabilities and Equity</w:t>
            </w: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30"/>
        </w:trPr>
        <w:tc>
          <w:tcPr>
            <w:tcW w:w="8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r>
      <w:tr>
        <w:trPr>
          <w:trHeight w:val="229"/>
        </w:trPr>
        <w:tc>
          <w:tcPr>
            <w:tcW w:w="81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Accounts payable</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67,055</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100,669</w:t>
            </w:r>
          </w:p>
        </w:tc>
      </w:tr>
      <w:tr>
        <w:trPr>
          <w:trHeight w:val="229"/>
        </w:trPr>
        <w:tc>
          <w:tcPr>
            <w:tcW w:w="81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Unearned revenue</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16,597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18,159</w:t>
            </w:r>
          </w:p>
        </w:tc>
      </w:tr>
      <w:tr>
        <w:trPr>
          <w:trHeight w:val="230"/>
        </w:trPr>
        <w:tc>
          <w:tcPr>
            <w:tcW w:w="81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78,854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15,612</w:t>
            </w:r>
          </w:p>
        </w:tc>
      </w:tr>
      <w:tr>
        <w:trPr>
          <w:trHeight w:val="229"/>
        </w:trPr>
        <w:tc>
          <w:tcPr>
            <w:tcW w:w="81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Accrued liabilities:</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r>
      <w:tr>
        <w:trPr>
          <w:trHeight w:val="230"/>
        </w:trPr>
        <w:tc>
          <w:tcPr>
            <w:tcW w:w="818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Employee compensation and benefits</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43,724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81,462</w:t>
            </w:r>
          </w:p>
        </w:tc>
      </w:tr>
      <w:tr>
        <w:trPr>
          <w:trHeight w:val="230"/>
        </w:trPr>
        <w:tc>
          <w:tcPr>
            <w:tcW w:w="818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Accrued income taxes</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32,307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33,179</w:t>
            </w:r>
          </w:p>
        </w:tc>
      </w:tr>
      <w:tr>
        <w:trPr>
          <w:trHeight w:val="229"/>
        </w:trPr>
        <w:tc>
          <w:tcPr>
            <w:tcW w:w="818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Programming liability</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158,936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140,502</w:t>
            </w:r>
          </w:p>
        </w:tc>
      </w:tr>
      <w:tr>
        <w:trPr>
          <w:trHeight w:val="230"/>
        </w:trPr>
        <w:tc>
          <w:tcPr>
            <w:tcW w:w="818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Accrued interest</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37,389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31,407</w:t>
            </w:r>
          </w:p>
        </w:tc>
      </w:tr>
      <w:tr>
        <w:trPr>
          <w:trHeight w:val="230"/>
        </w:trPr>
        <w:tc>
          <w:tcPr>
            <w:tcW w:w="818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Miscellaneous</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30,960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35,811</w:t>
            </w:r>
          </w:p>
        </w:tc>
      </w:tr>
      <w:tr>
        <w:trPr>
          <w:trHeight w:val="230"/>
        </w:trPr>
        <w:tc>
          <w:tcPr>
            <w:tcW w:w="81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26,330</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25,593</w:t>
            </w:r>
          </w:p>
        </w:tc>
      </w:tr>
      <w:tr>
        <w:trPr>
          <w:trHeight w:val="223"/>
        </w:trPr>
        <w:tc>
          <w:tcPr>
            <w:tcW w:w="818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492,152</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482,394</w:t>
            </w:r>
          </w:p>
        </w:tc>
      </w:tr>
      <w:tr>
        <w:trPr>
          <w:trHeight w:val="223"/>
        </w:trPr>
        <w:tc>
          <w:tcPr>
            <w:tcW w:w="8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debt (less current portion)</w:t>
            </w:r>
          </w:p>
        </w:tc>
        <w:tc>
          <w:tcPr>
            <w:tcW w:w="2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2,544,850</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2,560,560</w:t>
            </w:r>
          </w:p>
        </w:tc>
      </w:tr>
      <w:tr>
        <w:trPr>
          <w:trHeight w:val="223"/>
        </w:trPr>
        <w:tc>
          <w:tcPr>
            <w:tcW w:w="81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Deferred income taxes</w:t>
            </w:r>
          </w:p>
        </w:tc>
        <w:tc>
          <w:tcPr>
            <w:tcW w:w="2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276,807</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293,634</w:t>
            </w:r>
          </w:p>
        </w:tc>
      </w:tr>
      <w:tr>
        <w:trPr>
          <w:trHeight w:val="223"/>
        </w:trPr>
        <w:tc>
          <w:tcPr>
            <w:tcW w:w="8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77,406</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79,399</w:t>
            </w:r>
          </w:p>
        </w:tc>
      </w:tr>
      <w:tr>
        <w:trPr>
          <w:trHeight w:val="223"/>
        </w:trPr>
        <w:tc>
          <w:tcPr>
            <w:tcW w:w="81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Other liabilities (less current portion)</w:t>
            </w:r>
          </w:p>
        </w:tc>
        <w:tc>
          <w:tcPr>
            <w:tcW w:w="2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406,532</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464,574</w:t>
            </w:r>
          </w:p>
        </w:tc>
      </w:tr>
      <w:tr>
        <w:trPr>
          <w:trHeight w:val="210"/>
        </w:trPr>
        <w:tc>
          <w:tcPr>
            <w:tcW w:w="8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w:t>
            </w: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r>
      <w:tr>
        <w:trPr>
          <w:trHeight w:val="230"/>
        </w:trPr>
        <w:tc>
          <w:tcPr>
            <w:tcW w:w="81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Preferred stock, $0.01 par — authorized: 25,000,000 shares; none outstanding</w:t>
            </w:r>
          </w:p>
        </w:tc>
        <w:tc>
          <w:tcPr>
            <w:tcW w:w="26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75"/>
        </w:trPr>
        <w:tc>
          <w:tcPr>
            <w:tcW w:w="8180" w:type="dxa"/>
            <w:vAlign w:val="bottom"/>
            <w:gridSpan w:val="2"/>
            <w:shd w:val="clear" w:color="auto" w:fill="CCEEFF"/>
          </w:tcPr>
          <w:p>
            <w:pPr>
              <w:ind w:left="220"/>
              <w:spacing w:after="0" w:line="176" w:lineRule="exact"/>
              <w:rPr>
                <w:sz w:val="20"/>
                <w:szCs w:val="20"/>
                <w:color w:val="auto"/>
              </w:rPr>
            </w:pPr>
            <w:r>
              <w:rPr>
                <w:rFonts w:ascii="Times New Roman" w:cs="Times New Roman" w:eastAsia="Times New Roman" w:hAnsi="Times New Roman"/>
                <w:sz w:val="18"/>
                <w:szCs w:val="18"/>
                <w:color w:val="auto"/>
              </w:rPr>
              <w:t>Preferred stock — Series A, $100,000 par; 6,000 shares issued and outstanding (redemption value of</w:t>
            </w:r>
          </w:p>
        </w:tc>
        <w:tc>
          <w:tcPr>
            <w:tcW w:w="26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r>
      <w:tr>
        <w:trPr>
          <w:trHeight w:val="243"/>
        </w:trPr>
        <w:tc>
          <w:tcPr>
            <w:tcW w:w="81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$718,267 at June 30, 2025 and $688,309 at December 31, 2024)</w:t>
            </w:r>
          </w:p>
        </w:tc>
        <w:tc>
          <w:tcPr>
            <w:tcW w:w="26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418,007</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416,854</w:t>
            </w:r>
          </w:p>
        </w:tc>
      </w:tr>
      <w:tr>
        <w:trPr>
          <w:trHeight w:val="230"/>
        </w:trPr>
        <w:tc>
          <w:tcPr>
            <w:tcW w:w="81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Common stock, $0.01 par:</w:t>
            </w: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30"/>
        </w:trPr>
        <w:tc>
          <w:tcPr>
            <w:tcW w:w="818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Class A — authorized: 240,000,000 shares; issued and outstanding: 76,400,410 and 74,694,541 shares</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747</w:t>
            </w:r>
          </w:p>
        </w:tc>
      </w:tr>
      <w:tr>
        <w:trPr>
          <w:trHeight w:val="230"/>
        </w:trPr>
        <w:tc>
          <w:tcPr>
            <w:tcW w:w="8180" w:type="dxa"/>
            <w:vAlign w:val="bottom"/>
            <w:tcBorders>
              <w:bottom w:val="single" w:sz="8" w:color="CCEEFF"/>
            </w:tcBorders>
            <w:gridSpan w:val="2"/>
          </w:tcPr>
          <w:p>
            <w:pPr>
              <w:ind w:left="440"/>
              <w:spacing w:after="0"/>
              <w:rPr>
                <w:sz w:val="20"/>
                <w:szCs w:val="20"/>
                <w:color w:val="auto"/>
              </w:rPr>
            </w:pPr>
            <w:r>
              <w:rPr>
                <w:rFonts w:ascii="Times New Roman" w:cs="Times New Roman" w:eastAsia="Times New Roman" w:hAnsi="Times New Roman"/>
                <w:sz w:val="18"/>
                <w:szCs w:val="18"/>
                <w:color w:val="auto"/>
              </w:rPr>
              <w:t>Voting — authorized: 60,000,000 shares; issued and outstanding: 11,932,722 and 11,932,722 shares</w:t>
            </w:r>
          </w:p>
        </w:tc>
        <w:tc>
          <w:tcPr>
            <w:tcW w:w="2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w:t>
            </w:r>
          </w:p>
        </w:tc>
      </w:tr>
      <w:tr>
        <w:trPr>
          <w:trHeight w:val="223"/>
        </w:trPr>
        <w:tc>
          <w:tcPr>
            <w:tcW w:w="81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preferred and common stock</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418,890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417,720</w:t>
            </w:r>
          </w:p>
        </w:tc>
      </w:tr>
      <w:tr>
        <w:trPr>
          <w:trHeight w:val="230"/>
        </w:trPr>
        <w:tc>
          <w:tcPr>
            <w:tcW w:w="81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1,461,755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1,451,604</w:t>
            </w:r>
          </w:p>
        </w:tc>
      </w:tr>
      <w:tr>
        <w:trPr>
          <w:trHeight w:val="229"/>
        </w:trPr>
        <w:tc>
          <w:tcPr>
            <w:tcW w:w="81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Accumulated deficit</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(515,421)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(476,004)</w:t>
            </w:r>
          </w:p>
        </w:tc>
      </w:tr>
      <w:tr>
        <w:trPr>
          <w:trHeight w:val="230"/>
        </w:trPr>
        <w:tc>
          <w:tcPr>
            <w:tcW w:w="818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8"/>
                <w:szCs w:val="18"/>
                <w:color w:val="auto"/>
              </w:rPr>
              <w:t>Accumulated other comprehensive loss, net of income taxes</w:t>
            </w:r>
          </w:p>
        </w:tc>
        <w:tc>
          <w:tcPr>
            <w:tcW w:w="2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(75,234)</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(75,306)</w:t>
            </w:r>
          </w:p>
        </w:tc>
      </w:tr>
      <w:tr>
        <w:trPr>
          <w:trHeight w:val="223"/>
        </w:trPr>
        <w:tc>
          <w:tcPr>
            <w:tcW w:w="81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equity</w:t>
            </w:r>
          </w:p>
        </w:tc>
        <w:tc>
          <w:tcPr>
            <w:tcW w:w="2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1,289,990</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1,318,014</w:t>
            </w:r>
          </w:p>
        </w:tc>
      </w:tr>
      <w:tr>
        <w:trPr>
          <w:trHeight w:val="223"/>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Liabilities and Equity</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5,087,737</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5,198,575</w:t>
            </w:r>
          </w:p>
        </w:tc>
      </w:tr>
      <w:tr>
        <w:trPr>
          <w:trHeight w:val="20"/>
        </w:trPr>
        <w:tc>
          <w:tcPr>
            <w:tcW w:w="8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See notes to condensed consolidated financial statements.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t>The E.W. Scripps Company</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 (Unaudited)</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540" w:type="dxa"/>
            <w:vAlign w:val="bottom"/>
            <w:gridSpan w:val="5"/>
          </w:tcPr>
          <w:p>
            <w:pPr>
              <w:ind w:left="300"/>
              <w:spacing w:after="0"/>
              <w:rPr>
                <w:sz w:val="20"/>
                <w:szCs w:val="20"/>
                <w:color w:val="auto"/>
              </w:rPr>
            </w:pPr>
            <w:r>
              <w:rPr>
                <w:rFonts w:ascii="Times New Roman" w:cs="Times New Roman" w:eastAsia="Times New Roman" w:hAnsi="Times New Roman"/>
                <w:sz w:val="18"/>
                <w:szCs w:val="18"/>
                <w:color w:val="auto"/>
              </w:rPr>
              <w:t>Three Months Ended</w:t>
            </w:r>
          </w:p>
        </w:tc>
        <w:tc>
          <w:tcPr>
            <w:tcW w:w="300" w:type="dxa"/>
            <w:vAlign w:val="bottom"/>
          </w:tcPr>
          <w:p>
            <w:pPr>
              <w:spacing w:after="0"/>
              <w:rPr>
                <w:sz w:val="17"/>
                <w:szCs w:val="17"/>
                <w:color w:val="auto"/>
              </w:rPr>
            </w:pPr>
          </w:p>
        </w:tc>
        <w:tc>
          <w:tcPr>
            <w:tcW w:w="2460" w:type="dxa"/>
            <w:vAlign w:val="bottom"/>
            <w:gridSpan w:val="4"/>
          </w:tcPr>
          <w:p>
            <w:pPr>
              <w:jc w:val="right"/>
              <w:ind w:right="630"/>
              <w:spacing w:after="0"/>
              <w:rPr>
                <w:sz w:val="20"/>
                <w:szCs w:val="20"/>
                <w:color w:val="auto"/>
              </w:rPr>
            </w:pPr>
            <w:r>
              <w:rPr>
                <w:rFonts w:ascii="Times New Roman" w:cs="Times New Roman" w:eastAsia="Times New Roman" w:hAnsi="Times New Roman"/>
                <w:sz w:val="18"/>
                <w:szCs w:val="18"/>
                <w:color w:val="auto"/>
              </w:rPr>
              <w:t>Six Months Ended</w:t>
            </w:r>
          </w:p>
        </w:tc>
        <w:tc>
          <w:tcPr>
            <w:tcW w:w="0" w:type="dxa"/>
            <w:vAlign w:val="bottom"/>
          </w:tcPr>
          <w:p>
            <w:pPr>
              <w:spacing w:after="0"/>
              <w:rPr>
                <w:sz w:val="1"/>
                <w:szCs w:val="1"/>
                <w:color w:val="auto"/>
              </w:rPr>
            </w:pPr>
          </w:p>
        </w:tc>
      </w:tr>
      <w:tr>
        <w:trPr>
          <w:trHeight w:val="236"/>
        </w:trPr>
        <w:tc>
          <w:tcPr>
            <w:tcW w:w="5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June 30,</w:t>
            </w:r>
          </w:p>
        </w:tc>
        <w:tc>
          <w:tcPr>
            <w:tcW w:w="9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8"/>
                <w:szCs w:val="18"/>
                <w:color w:val="auto"/>
              </w:rPr>
              <w:t>June 30,</w:t>
            </w:r>
          </w:p>
        </w:tc>
        <w:tc>
          <w:tcPr>
            <w:tcW w:w="9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 thousands, except per share data)</w:t>
            </w:r>
          </w:p>
        </w:tc>
        <w:tc>
          <w:tcPr>
            <w:tcW w:w="280" w:type="dxa"/>
            <w:vAlign w:val="bottom"/>
          </w:tcPr>
          <w:p>
            <w:pPr>
              <w:spacing w:after="0"/>
              <w:rPr>
                <w:sz w:val="19"/>
                <w:szCs w:val="19"/>
                <w:color w:val="auto"/>
              </w:rPr>
            </w:pPr>
          </w:p>
        </w:tc>
        <w:tc>
          <w:tcPr>
            <w:tcW w:w="102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2025</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2024</w:t>
            </w:r>
          </w:p>
        </w:tc>
        <w:tc>
          <w:tcPr>
            <w:tcW w:w="0" w:type="dxa"/>
            <w:vAlign w:val="bottom"/>
          </w:tcPr>
          <w:p>
            <w:pPr>
              <w:spacing w:after="0"/>
              <w:rPr>
                <w:sz w:val="1"/>
                <w:szCs w:val="1"/>
                <w:color w:val="auto"/>
              </w:rPr>
            </w:pPr>
          </w:p>
        </w:tc>
      </w:tr>
      <w:tr>
        <w:trPr>
          <w:trHeight w:val="34"/>
        </w:trPr>
        <w:tc>
          <w:tcPr>
            <w:tcW w:w="554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top w:val="single" w:sz="8" w:color="auto"/>
            </w:tcBorders>
          </w:tcPr>
          <w:p>
            <w:pPr>
              <w:spacing w:after="0"/>
              <w:rPr>
                <w:sz w:val="2"/>
                <w:szCs w:val="2"/>
                <w:color w:val="auto"/>
              </w:rPr>
            </w:pPr>
          </w:p>
        </w:tc>
        <w:tc>
          <w:tcPr>
            <w:tcW w:w="102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top w:val="single" w:sz="8" w:color="auto"/>
            </w:tcBorders>
          </w:tcPr>
          <w:p>
            <w:pPr>
              <w:spacing w:after="0"/>
              <w:rPr>
                <w:sz w:val="2"/>
                <w:szCs w:val="2"/>
                <w:color w:val="auto"/>
              </w:rPr>
            </w:pPr>
          </w:p>
        </w:tc>
        <w:tc>
          <w:tcPr>
            <w:tcW w:w="96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top w:val="single" w:sz="8" w:color="auto"/>
            </w:tcBorders>
          </w:tcPr>
          <w:p>
            <w:pPr>
              <w:spacing w:after="0"/>
              <w:rPr>
                <w:sz w:val="2"/>
                <w:szCs w:val="2"/>
                <w:color w:val="auto"/>
              </w:rPr>
            </w:pPr>
          </w:p>
        </w:tc>
        <w:tc>
          <w:tcPr>
            <w:tcW w:w="102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top w:val="single" w:sz="8" w:color="auto"/>
            </w:tcBorders>
          </w:tcPr>
          <w:p>
            <w:pPr>
              <w:spacing w:after="0"/>
              <w:rPr>
                <w:sz w:val="2"/>
                <w:szCs w:val="2"/>
                <w:color w:val="auto"/>
              </w:rPr>
            </w:pPr>
          </w:p>
        </w:tc>
        <w:tc>
          <w:tcPr>
            <w:tcW w:w="960" w:type="dxa"/>
            <w:vAlign w:val="bottom"/>
            <w:tcBorders>
              <w:top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5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Revenues:</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Advertising</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335,530</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365,981</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661,380</w:t>
            </w:r>
          </w:p>
        </w:tc>
        <w:tc>
          <w:tcPr>
            <w:tcW w:w="12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715,739</w:t>
            </w:r>
          </w:p>
        </w:tc>
        <w:tc>
          <w:tcPr>
            <w:tcW w:w="0" w:type="dxa"/>
            <w:vAlign w:val="bottom"/>
          </w:tcPr>
          <w:p>
            <w:pPr>
              <w:spacing w:after="0"/>
              <w:rPr>
                <w:sz w:val="1"/>
                <w:szCs w:val="1"/>
                <w:color w:val="auto"/>
              </w:rPr>
            </w:pPr>
          </w:p>
        </w:tc>
      </w:tr>
      <w:tr>
        <w:trPr>
          <w:trHeight w:val="230"/>
        </w:trPr>
        <w:tc>
          <w:tcPr>
            <w:tcW w:w="56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Distribution</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195,404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199,599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384,328</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402,159</w:t>
            </w:r>
          </w:p>
        </w:tc>
        <w:tc>
          <w:tcPr>
            <w:tcW w:w="0" w:type="dxa"/>
            <w:vAlign w:val="bottom"/>
          </w:tcPr>
          <w:p>
            <w:pPr>
              <w:spacing w:after="0"/>
              <w:rPr>
                <w:sz w:val="1"/>
                <w:szCs w:val="1"/>
                <w:color w:val="auto"/>
              </w:rPr>
            </w:pPr>
          </w:p>
        </w:tc>
      </w:tr>
      <w:tr>
        <w:trPr>
          <w:trHeight w:val="229"/>
        </w:trPr>
        <w:tc>
          <w:tcPr>
            <w:tcW w:w="566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9,146</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8,049</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18,765</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17,195</w:t>
            </w:r>
          </w:p>
        </w:tc>
        <w:tc>
          <w:tcPr>
            <w:tcW w:w="0" w:type="dxa"/>
            <w:vAlign w:val="bottom"/>
          </w:tcPr>
          <w:p>
            <w:pPr>
              <w:spacing w:after="0"/>
              <w:rPr>
                <w:sz w:val="1"/>
                <w:szCs w:val="1"/>
                <w:color w:val="auto"/>
              </w:rPr>
            </w:pPr>
          </w:p>
        </w:tc>
      </w:tr>
      <w:tr>
        <w:trPr>
          <w:trHeight w:val="223"/>
        </w:trPr>
        <w:tc>
          <w:tcPr>
            <w:tcW w:w="56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operating revenues</w:t>
            </w: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540,080</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573,629</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1,064,473</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1,135,093</w:t>
            </w:r>
          </w:p>
        </w:tc>
        <w:tc>
          <w:tcPr>
            <w:tcW w:w="0" w:type="dxa"/>
            <w:vAlign w:val="bottom"/>
          </w:tcPr>
          <w:p>
            <w:pPr>
              <w:spacing w:after="0"/>
              <w:rPr>
                <w:sz w:val="1"/>
                <w:szCs w:val="1"/>
                <w:color w:val="auto"/>
              </w:rPr>
            </w:pPr>
          </w:p>
        </w:tc>
      </w:tr>
      <w:tr>
        <w:trPr>
          <w:trHeight w:val="209"/>
        </w:trPr>
        <w:tc>
          <w:tcPr>
            <w:tcW w:w="5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6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Cost of revenues, excluding depreciation and amortization</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313,689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327,107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630,842</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655,640</w:t>
            </w:r>
          </w:p>
        </w:tc>
        <w:tc>
          <w:tcPr>
            <w:tcW w:w="0" w:type="dxa"/>
            <w:vAlign w:val="bottom"/>
          </w:tcPr>
          <w:p>
            <w:pPr>
              <w:spacing w:after="0"/>
              <w:rPr>
                <w:sz w:val="1"/>
                <w:szCs w:val="1"/>
                <w:color w:val="auto"/>
              </w:rPr>
            </w:pPr>
          </w:p>
        </w:tc>
      </w:tr>
      <w:tr>
        <w:trPr>
          <w:trHeight w:val="176"/>
        </w:trPr>
        <w:tc>
          <w:tcPr>
            <w:tcW w:w="5660" w:type="dxa"/>
            <w:vAlign w:val="bottom"/>
            <w:gridSpan w:val="2"/>
          </w:tcPr>
          <w:p>
            <w:pPr>
              <w:ind w:left="220"/>
              <w:spacing w:after="0" w:line="176" w:lineRule="exact"/>
              <w:rPr>
                <w:sz w:val="20"/>
                <w:szCs w:val="20"/>
                <w:color w:val="auto"/>
              </w:rPr>
            </w:pPr>
            <w:r>
              <w:rPr>
                <w:rFonts w:ascii="Times New Roman" w:cs="Times New Roman" w:eastAsia="Times New Roman" w:hAnsi="Times New Roman"/>
                <w:sz w:val="18"/>
                <w:szCs w:val="18"/>
                <w:color w:val="auto"/>
              </w:rPr>
              <w:t>Selling, general and administrative expenses, excluding depreciation and</w:t>
            </w:r>
          </w:p>
        </w:tc>
        <w:tc>
          <w:tcPr>
            <w:tcW w:w="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6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amortization</w:t>
            </w:r>
          </w:p>
        </w:tc>
        <w:tc>
          <w:tcPr>
            <w:tcW w:w="2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143,386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151,532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280,625</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297,225</w:t>
            </w:r>
          </w:p>
        </w:tc>
        <w:tc>
          <w:tcPr>
            <w:tcW w:w="0" w:type="dxa"/>
            <w:vAlign w:val="bottom"/>
          </w:tcPr>
          <w:p>
            <w:pPr>
              <w:spacing w:after="0"/>
              <w:rPr>
                <w:sz w:val="1"/>
                <w:szCs w:val="1"/>
                <w:color w:val="auto"/>
              </w:rPr>
            </w:pPr>
          </w:p>
        </w:tc>
      </w:tr>
      <w:tr>
        <w:trPr>
          <w:trHeight w:val="229"/>
        </w:trPr>
        <w:tc>
          <w:tcPr>
            <w:tcW w:w="56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Restructuring costs</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4,757</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5,988</w:t>
            </w:r>
          </w:p>
        </w:tc>
        <w:tc>
          <w:tcPr>
            <w:tcW w:w="0" w:type="dxa"/>
            <w:vAlign w:val="bottom"/>
          </w:tcPr>
          <w:p>
            <w:pPr>
              <w:spacing w:after="0"/>
              <w:rPr>
                <w:sz w:val="1"/>
                <w:szCs w:val="1"/>
                <w:color w:val="auto"/>
              </w:rPr>
            </w:pPr>
          </w:p>
        </w:tc>
      </w:tr>
      <w:tr>
        <w:trPr>
          <w:trHeight w:val="229"/>
        </w:trPr>
        <w:tc>
          <w:tcPr>
            <w:tcW w:w="56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Depreciation</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14,643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15,150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29,547</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30,270</w:t>
            </w:r>
          </w:p>
        </w:tc>
        <w:tc>
          <w:tcPr>
            <w:tcW w:w="0" w:type="dxa"/>
            <w:vAlign w:val="bottom"/>
          </w:tcPr>
          <w:p>
            <w:pPr>
              <w:spacing w:after="0"/>
              <w:rPr>
                <w:sz w:val="1"/>
                <w:szCs w:val="1"/>
                <w:color w:val="auto"/>
              </w:rPr>
            </w:pPr>
          </w:p>
        </w:tc>
      </w:tr>
      <w:tr>
        <w:trPr>
          <w:trHeight w:val="230"/>
        </w:trPr>
        <w:tc>
          <w:tcPr>
            <w:tcW w:w="56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22,555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23,318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46,111</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46,886</w:t>
            </w:r>
          </w:p>
        </w:tc>
        <w:tc>
          <w:tcPr>
            <w:tcW w:w="0" w:type="dxa"/>
            <w:vAlign w:val="bottom"/>
          </w:tcPr>
          <w:p>
            <w:pPr>
              <w:spacing w:after="0"/>
              <w:rPr>
                <w:sz w:val="1"/>
                <w:szCs w:val="1"/>
                <w:color w:val="auto"/>
              </w:rPr>
            </w:pPr>
          </w:p>
        </w:tc>
      </w:tr>
      <w:tr>
        <w:trPr>
          <w:trHeight w:val="229"/>
        </w:trPr>
        <w:tc>
          <w:tcPr>
            <w:tcW w:w="566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8"/>
                <w:szCs w:val="18"/>
                <w:color w:val="auto"/>
              </w:rPr>
              <w:t>Losses (gains), net on disposal of property and equipment</w:t>
            </w: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(31,410)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(31,488)</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23"/>
        </w:trPr>
        <w:tc>
          <w:tcPr>
            <w:tcW w:w="56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463,476</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517,923</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960,394</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1,035,999</w:t>
            </w:r>
          </w:p>
        </w:tc>
        <w:tc>
          <w:tcPr>
            <w:tcW w:w="0" w:type="dxa"/>
            <w:vAlign w:val="bottom"/>
          </w:tcPr>
          <w:p>
            <w:pPr>
              <w:spacing w:after="0"/>
              <w:rPr>
                <w:sz w:val="1"/>
                <w:szCs w:val="1"/>
                <w:color w:val="auto"/>
              </w:rPr>
            </w:pPr>
          </w:p>
        </w:tc>
      </w:tr>
      <w:tr>
        <w:trPr>
          <w:trHeight w:val="223"/>
        </w:trPr>
        <w:tc>
          <w:tcPr>
            <w:tcW w:w="5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76,604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55,706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104,079</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99,094</w:t>
            </w:r>
          </w:p>
        </w:tc>
        <w:tc>
          <w:tcPr>
            <w:tcW w:w="0" w:type="dxa"/>
            <w:vAlign w:val="bottom"/>
          </w:tcPr>
          <w:p>
            <w:pPr>
              <w:spacing w:after="0"/>
              <w:rPr>
                <w:sz w:val="1"/>
                <w:szCs w:val="1"/>
                <w:color w:val="auto"/>
              </w:rPr>
            </w:pPr>
          </w:p>
        </w:tc>
      </w:tr>
      <w:tr>
        <w:trPr>
          <w:trHeight w:val="230"/>
        </w:trPr>
        <w:tc>
          <w:tcPr>
            <w:tcW w:w="5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(58,653)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(52,123)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(102,403)</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(107,040)</w:t>
            </w:r>
          </w:p>
        </w:tc>
        <w:tc>
          <w:tcPr>
            <w:tcW w:w="0" w:type="dxa"/>
            <w:vAlign w:val="bottom"/>
          </w:tcPr>
          <w:p>
            <w:pPr>
              <w:spacing w:after="0"/>
              <w:rPr>
                <w:sz w:val="1"/>
                <w:szCs w:val="1"/>
                <w:color w:val="auto"/>
              </w:rPr>
            </w:pPr>
          </w:p>
        </w:tc>
      </w:tr>
      <w:tr>
        <w:trPr>
          <w:trHeight w:val="229"/>
        </w:trPr>
        <w:tc>
          <w:tcPr>
            <w:tcW w:w="5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(2,972)</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financing transaction costs</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(38,071)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(38,071)</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Defined benefit pension plan income (expense)</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(675)</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w:t>
            </w:r>
          </w:p>
        </w:tc>
        <w:tc>
          <w:tcPr>
            <w:tcW w:w="0" w:type="dxa"/>
            <w:vAlign w:val="bottom"/>
          </w:tcPr>
          <w:p>
            <w:pPr>
              <w:spacing w:after="0"/>
              <w:rPr>
                <w:sz w:val="1"/>
                <w:szCs w:val="1"/>
                <w:color w:val="auto"/>
              </w:rPr>
            </w:pPr>
          </w:p>
        </w:tc>
      </w:tr>
      <w:tr>
        <w:trPr>
          <w:trHeight w:val="229"/>
        </w:trPr>
        <w:tc>
          <w:tcPr>
            <w:tcW w:w="5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Miscellaneous, net</w:t>
            </w: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(1,683)</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(1,527)</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16,402</w:t>
            </w:r>
          </w:p>
        </w:tc>
        <w:tc>
          <w:tcPr>
            <w:tcW w:w="0" w:type="dxa"/>
            <w:vAlign w:val="bottom"/>
          </w:tcPr>
          <w:p>
            <w:pPr>
              <w:spacing w:after="0"/>
              <w:rPr>
                <w:sz w:val="1"/>
                <w:szCs w:val="1"/>
                <w:color w:val="auto"/>
              </w:rPr>
            </w:pPr>
          </w:p>
        </w:tc>
      </w:tr>
      <w:tr>
        <w:trPr>
          <w:trHeight w:val="223"/>
        </w:trPr>
        <w:tc>
          <w:tcPr>
            <w:tcW w:w="5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Income (loss) from operations before income taxes</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(25,112)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(41,569)</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8,810</w:t>
            </w:r>
          </w:p>
        </w:tc>
        <w:tc>
          <w:tcPr>
            <w:tcW w:w="0" w:type="dxa"/>
            <w:vAlign w:val="bottom"/>
          </w:tcPr>
          <w:p>
            <w:pPr>
              <w:spacing w:after="0"/>
              <w:rPr>
                <w:sz w:val="1"/>
                <w:szCs w:val="1"/>
                <w:color w:val="auto"/>
              </w:rPr>
            </w:pPr>
          </w:p>
        </w:tc>
      </w:tr>
      <w:tr>
        <w:trPr>
          <w:trHeight w:val="230"/>
        </w:trPr>
        <w:tc>
          <w:tcPr>
            <w:tcW w:w="5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(benefit) for income taxes</w:t>
            </w: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10,850</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1,912</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(2,152)</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5,755</w:t>
            </w:r>
          </w:p>
        </w:tc>
        <w:tc>
          <w:tcPr>
            <w:tcW w:w="0" w:type="dxa"/>
            <w:vAlign w:val="bottom"/>
          </w:tcPr>
          <w:p>
            <w:pPr>
              <w:spacing w:after="0"/>
              <w:rPr>
                <w:sz w:val="1"/>
                <w:szCs w:val="1"/>
                <w:color w:val="auto"/>
              </w:rPr>
            </w:pPr>
          </w:p>
        </w:tc>
      </w:tr>
      <w:tr>
        <w:trPr>
          <w:trHeight w:val="223"/>
        </w:trPr>
        <w:tc>
          <w:tcPr>
            <w:tcW w:w="5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(35,962)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(39,417)</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3,055</w:t>
            </w:r>
          </w:p>
        </w:tc>
        <w:tc>
          <w:tcPr>
            <w:tcW w:w="0" w:type="dxa"/>
            <w:vAlign w:val="bottom"/>
          </w:tcPr>
          <w:p>
            <w:pPr>
              <w:spacing w:after="0"/>
              <w:rPr>
                <w:sz w:val="1"/>
                <w:szCs w:val="1"/>
                <w:color w:val="auto"/>
              </w:rPr>
            </w:pPr>
          </w:p>
        </w:tc>
      </w:tr>
      <w:tr>
        <w:trPr>
          <w:trHeight w:val="230"/>
        </w:trPr>
        <w:tc>
          <w:tcPr>
            <w:tcW w:w="5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Preferred stock dividends</w:t>
            </w: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(15,722)</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(14,432)</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(31,110)</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(28,809)</w:t>
            </w:r>
          </w:p>
        </w:tc>
        <w:tc>
          <w:tcPr>
            <w:tcW w:w="0" w:type="dxa"/>
            <w:vAlign w:val="bottom"/>
          </w:tcPr>
          <w:p>
            <w:pPr>
              <w:spacing w:after="0"/>
              <w:rPr>
                <w:sz w:val="1"/>
                <w:szCs w:val="1"/>
                <w:color w:val="auto"/>
              </w:rPr>
            </w:pPr>
          </w:p>
        </w:tc>
      </w:tr>
      <w:tr>
        <w:trPr>
          <w:trHeight w:val="223"/>
        </w:trPr>
        <w:tc>
          <w:tcPr>
            <w:tcW w:w="5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loss attributable to the shareholders of The E.W. Scripps Company</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(51,684)</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(13,003)</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(70,527)</w:t>
            </w: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(25,754)</w:t>
            </w:r>
          </w:p>
        </w:tc>
        <w:tc>
          <w:tcPr>
            <w:tcW w:w="0" w:type="dxa"/>
            <w:vAlign w:val="bottom"/>
          </w:tcPr>
          <w:p>
            <w:pPr>
              <w:spacing w:after="0"/>
              <w:rPr>
                <w:sz w:val="1"/>
                <w:szCs w:val="1"/>
                <w:color w:val="auto"/>
              </w:rPr>
            </w:pPr>
          </w:p>
        </w:tc>
      </w:tr>
      <w:tr>
        <w:trPr>
          <w:trHeight w:val="20"/>
        </w:trPr>
        <w:tc>
          <w:tcPr>
            <w:tcW w:w="55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5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566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Net loss per basic share of common stock attributable to the shareholders of</w:t>
            </w:r>
          </w:p>
        </w:tc>
        <w:tc>
          <w:tcPr>
            <w:tcW w:w="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5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The E.W. Scripps Company</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(0.59)</w:t>
            </w:r>
          </w:p>
        </w:tc>
        <w:tc>
          <w:tcPr>
            <w:tcW w:w="100" w:type="dxa"/>
            <w:vAlign w:val="bottom"/>
          </w:tcPr>
          <w:p>
            <w:pPr>
              <w:spacing w:after="0"/>
              <w:rPr>
                <w:sz w:val="18"/>
                <w:szCs w:val="18"/>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(0.15)</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(0.81)</w:t>
            </w:r>
          </w:p>
        </w:tc>
        <w:tc>
          <w:tcPr>
            <w:tcW w:w="120" w:type="dxa"/>
            <w:vAlign w:val="bottom"/>
          </w:tcPr>
          <w:p>
            <w:pPr>
              <w:spacing w:after="0"/>
              <w:rPr>
                <w:sz w:val="18"/>
                <w:szCs w:val="18"/>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(0.30)</w:t>
            </w:r>
          </w:p>
        </w:tc>
        <w:tc>
          <w:tcPr>
            <w:tcW w:w="0" w:type="dxa"/>
            <w:vAlign w:val="bottom"/>
          </w:tcPr>
          <w:p>
            <w:pPr>
              <w:spacing w:after="0"/>
              <w:rPr>
                <w:sz w:val="1"/>
                <w:szCs w:val="1"/>
                <w:color w:val="auto"/>
              </w:rPr>
            </w:pPr>
          </w:p>
        </w:tc>
      </w:tr>
      <w:tr>
        <w:trPr>
          <w:trHeight w:val="20"/>
        </w:trPr>
        <w:tc>
          <w:tcPr>
            <w:tcW w:w="55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5660" w:type="dxa"/>
            <w:vAlign w:val="bottom"/>
            <w:gridSpan w:val="2"/>
            <w:shd w:val="clear" w:color="auto" w:fill="CCEEFF"/>
          </w:tcPr>
          <w:p>
            <w:pPr>
              <w:ind w:left="20"/>
              <w:spacing w:after="0" w:line="142" w:lineRule="exact"/>
              <w:rPr>
                <w:sz w:val="20"/>
                <w:szCs w:val="20"/>
                <w:color w:val="auto"/>
              </w:rPr>
            </w:pPr>
            <w:r>
              <w:rPr>
                <w:rFonts w:ascii="Times New Roman" w:cs="Times New Roman" w:eastAsia="Times New Roman" w:hAnsi="Times New Roman"/>
                <w:sz w:val="16"/>
                <w:szCs w:val="16"/>
                <w:color w:val="auto"/>
              </w:rPr>
              <w:t>Net loss per diluted share of common stock attributable to the shareholders</w:t>
            </w:r>
          </w:p>
        </w:tc>
        <w:tc>
          <w:tcPr>
            <w:tcW w:w="280" w:type="dxa"/>
            <w:vAlign w:val="bottom"/>
            <w:vMerge w:val="restart"/>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(0.59)</w:t>
            </w:r>
          </w:p>
        </w:tc>
        <w:tc>
          <w:tcPr>
            <w:tcW w:w="100" w:type="dxa"/>
            <w:vAlign w:val="bottom"/>
            <w:shd w:val="clear" w:color="auto" w:fill="CCEEFF"/>
          </w:tcPr>
          <w:p>
            <w:pPr>
              <w:spacing w:after="0"/>
              <w:rPr>
                <w:sz w:val="12"/>
                <w:szCs w:val="12"/>
                <w:color w:val="auto"/>
              </w:rPr>
            </w:pPr>
          </w:p>
        </w:tc>
        <w:tc>
          <w:tcPr>
            <w:tcW w:w="360" w:type="dxa"/>
            <w:vAlign w:val="bottom"/>
            <w:vMerge w:val="restart"/>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(0.15)</w:t>
            </w:r>
          </w:p>
        </w:tc>
        <w:tc>
          <w:tcPr>
            <w:tcW w:w="100" w:type="dxa"/>
            <w:vAlign w:val="bottom"/>
            <w:shd w:val="clear" w:color="auto" w:fill="CCEEFF"/>
          </w:tcPr>
          <w:p>
            <w:pPr>
              <w:spacing w:after="0"/>
              <w:rPr>
                <w:sz w:val="12"/>
                <w:szCs w:val="12"/>
                <w:color w:val="auto"/>
              </w:rPr>
            </w:pPr>
          </w:p>
        </w:tc>
        <w:tc>
          <w:tcPr>
            <w:tcW w:w="300" w:type="dxa"/>
            <w:vAlign w:val="bottom"/>
            <w:vMerge w:val="restart"/>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(0.81)</w:t>
            </w:r>
          </w:p>
        </w:tc>
        <w:tc>
          <w:tcPr>
            <w:tcW w:w="120" w:type="dxa"/>
            <w:vAlign w:val="bottom"/>
            <w:shd w:val="clear" w:color="auto" w:fill="CCEEFF"/>
          </w:tcPr>
          <w:p>
            <w:pPr>
              <w:spacing w:after="0"/>
              <w:rPr>
                <w:sz w:val="12"/>
                <w:szCs w:val="12"/>
                <w:color w:val="auto"/>
              </w:rPr>
            </w:pPr>
          </w:p>
        </w:tc>
        <w:tc>
          <w:tcPr>
            <w:tcW w:w="360" w:type="dxa"/>
            <w:vAlign w:val="bottom"/>
            <w:vMerge w:val="restart"/>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(0.30)</w:t>
            </w:r>
          </w:p>
        </w:tc>
        <w:tc>
          <w:tcPr>
            <w:tcW w:w="0" w:type="dxa"/>
            <w:vAlign w:val="bottom"/>
          </w:tcPr>
          <w:p>
            <w:pPr>
              <w:spacing w:after="0"/>
              <w:rPr>
                <w:sz w:val="1"/>
                <w:szCs w:val="1"/>
                <w:color w:val="auto"/>
              </w:rPr>
            </w:pPr>
          </w:p>
        </w:tc>
      </w:tr>
      <w:tr>
        <w:trPr>
          <w:trHeight w:val="236"/>
        </w:trPr>
        <w:tc>
          <w:tcPr>
            <w:tcW w:w="56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of The E.W. Scripps Company</w:t>
            </w:r>
          </w:p>
        </w:tc>
        <w:tc>
          <w:tcPr>
            <w:tcW w:w="280" w:type="dxa"/>
            <w:vAlign w:val="bottom"/>
            <w:tcBorders>
              <w:bottom w:val="single" w:sz="8" w:color="auto"/>
            </w:tcBorders>
            <w:vMerge w:val="continue"/>
            <w:shd w:val="clear" w:color="auto" w:fill="CCEEFF"/>
          </w:tcPr>
          <w:p>
            <w:pPr>
              <w:spacing w:after="0"/>
              <w:rPr>
                <w:sz w:val="20"/>
                <w:szCs w:val="20"/>
                <w:color w:val="auto"/>
              </w:rPr>
            </w:pPr>
          </w:p>
        </w:tc>
        <w:tc>
          <w:tcPr>
            <w:tcW w:w="10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vMerge w:val="continue"/>
            <w:shd w:val="clear" w:color="auto" w:fill="CCEEFF"/>
          </w:tcPr>
          <w:p>
            <w:pPr>
              <w:spacing w:after="0"/>
              <w:rPr>
                <w:sz w:val="20"/>
                <w:szCs w:val="20"/>
                <w:color w:val="auto"/>
              </w:rPr>
            </w:pPr>
          </w:p>
        </w:tc>
        <w:tc>
          <w:tcPr>
            <w:tcW w:w="96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vMerge w:val="continue"/>
            <w:shd w:val="clear" w:color="auto" w:fill="CCEEFF"/>
          </w:tcPr>
          <w:p>
            <w:pPr>
              <w:spacing w:after="0"/>
              <w:rPr>
                <w:sz w:val="20"/>
                <w:szCs w:val="20"/>
                <w:color w:val="auto"/>
              </w:rPr>
            </w:pPr>
          </w:p>
        </w:tc>
        <w:tc>
          <w:tcPr>
            <w:tcW w:w="102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vMerge w:val="continue"/>
            <w:shd w:val="clear" w:color="auto" w:fill="CCEEFF"/>
          </w:tcPr>
          <w:p>
            <w:pPr>
              <w:spacing w:after="0"/>
              <w:rPr>
                <w:sz w:val="20"/>
                <w:szCs w:val="20"/>
                <w:color w:val="auto"/>
              </w:rPr>
            </w:pPr>
          </w:p>
        </w:tc>
        <w:tc>
          <w:tcPr>
            <w:tcW w:w="96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5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color w:val="auto"/>
        </w:rPr>
        <w:t>The E.W. Scripps Company</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Income (Loss) (Unaudited)</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540" w:type="dxa"/>
            <w:vAlign w:val="bottom"/>
            <w:gridSpan w:val="5"/>
          </w:tcPr>
          <w:p>
            <w:pPr>
              <w:ind w:left="280"/>
              <w:spacing w:after="0"/>
              <w:rPr>
                <w:sz w:val="20"/>
                <w:szCs w:val="20"/>
                <w:color w:val="auto"/>
              </w:rPr>
            </w:pPr>
            <w:r>
              <w:rPr>
                <w:rFonts w:ascii="Times New Roman" w:cs="Times New Roman" w:eastAsia="Times New Roman" w:hAnsi="Times New Roman"/>
                <w:sz w:val="18"/>
                <w:szCs w:val="18"/>
                <w:color w:val="auto"/>
              </w:rPr>
              <w:t>Three Months Ended</w:t>
            </w:r>
          </w:p>
        </w:tc>
        <w:tc>
          <w:tcPr>
            <w:tcW w:w="300" w:type="dxa"/>
            <w:vAlign w:val="bottom"/>
          </w:tcPr>
          <w:p>
            <w:pPr>
              <w:spacing w:after="0"/>
              <w:rPr>
                <w:sz w:val="17"/>
                <w:szCs w:val="17"/>
                <w:color w:val="auto"/>
              </w:rPr>
            </w:pPr>
          </w:p>
        </w:tc>
        <w:tc>
          <w:tcPr>
            <w:tcW w:w="2440" w:type="dxa"/>
            <w:vAlign w:val="bottom"/>
            <w:gridSpan w:val="4"/>
          </w:tcPr>
          <w:p>
            <w:pPr>
              <w:ind w:left="380"/>
              <w:spacing w:after="0"/>
              <w:rPr>
                <w:sz w:val="20"/>
                <w:szCs w:val="20"/>
                <w:color w:val="auto"/>
              </w:rPr>
            </w:pPr>
            <w:r>
              <w:rPr>
                <w:rFonts w:ascii="Times New Roman" w:cs="Times New Roman" w:eastAsia="Times New Roman" w:hAnsi="Times New Roman"/>
                <w:sz w:val="18"/>
                <w:szCs w:val="18"/>
                <w:color w:val="auto"/>
              </w:rPr>
              <w:t>Six Months Ended</w:t>
            </w:r>
          </w:p>
        </w:tc>
        <w:tc>
          <w:tcPr>
            <w:tcW w:w="0" w:type="dxa"/>
            <w:vAlign w:val="bottom"/>
          </w:tcPr>
          <w:p>
            <w:pPr>
              <w:spacing w:after="0"/>
              <w:rPr>
                <w:sz w:val="1"/>
                <w:szCs w:val="1"/>
                <w:color w:val="auto"/>
              </w:rPr>
            </w:pPr>
          </w:p>
        </w:tc>
      </w:tr>
      <w:tr>
        <w:trPr>
          <w:trHeight w:val="237"/>
        </w:trPr>
        <w:tc>
          <w:tcPr>
            <w:tcW w:w="5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3"/>
          </w:tcPr>
          <w:p>
            <w:pPr>
              <w:ind w:left="760"/>
              <w:spacing w:after="0"/>
              <w:rPr>
                <w:sz w:val="20"/>
                <w:szCs w:val="20"/>
                <w:color w:val="auto"/>
              </w:rPr>
            </w:pPr>
            <w:r>
              <w:rPr>
                <w:rFonts w:ascii="Times New Roman" w:cs="Times New Roman" w:eastAsia="Times New Roman" w:hAnsi="Times New Roman"/>
                <w:sz w:val="18"/>
                <w:szCs w:val="18"/>
                <w:color w:val="auto"/>
              </w:rPr>
              <w:t>June 30,</w:t>
            </w:r>
          </w:p>
        </w:tc>
        <w:tc>
          <w:tcPr>
            <w:tcW w:w="9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3"/>
          </w:tcPr>
          <w:p>
            <w:pPr>
              <w:ind w:left="760"/>
              <w:spacing w:after="0"/>
              <w:rPr>
                <w:sz w:val="20"/>
                <w:szCs w:val="20"/>
                <w:color w:val="auto"/>
              </w:rPr>
            </w:pPr>
            <w:r>
              <w:rPr>
                <w:rFonts w:ascii="Times New Roman" w:cs="Times New Roman" w:eastAsia="Times New Roman" w:hAnsi="Times New Roman"/>
                <w:sz w:val="18"/>
                <w:szCs w:val="18"/>
                <w:color w:val="auto"/>
              </w:rPr>
              <w:t>June 30,</w:t>
            </w:r>
          </w:p>
        </w:tc>
        <w:tc>
          <w:tcPr>
            <w:tcW w:w="9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300" w:type="dxa"/>
            <w:vAlign w:val="bottom"/>
          </w:tcPr>
          <w:p>
            <w:pPr>
              <w:spacing w:after="0"/>
              <w:rPr>
                <w:sz w:val="19"/>
                <w:szCs w:val="19"/>
                <w:color w:val="auto"/>
              </w:rPr>
            </w:pPr>
          </w:p>
        </w:tc>
        <w:tc>
          <w:tcPr>
            <w:tcW w:w="102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2025</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6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2024</w:t>
            </w:r>
          </w:p>
        </w:tc>
        <w:tc>
          <w:tcPr>
            <w:tcW w:w="0" w:type="dxa"/>
            <w:vAlign w:val="bottom"/>
          </w:tcPr>
          <w:p>
            <w:pPr>
              <w:spacing w:after="0"/>
              <w:rPr>
                <w:sz w:val="1"/>
                <w:szCs w:val="1"/>
                <w:color w:val="auto"/>
              </w:rPr>
            </w:pPr>
          </w:p>
        </w:tc>
      </w:tr>
      <w:tr>
        <w:trPr>
          <w:trHeight w:val="34"/>
        </w:trPr>
        <w:tc>
          <w:tcPr>
            <w:tcW w:w="556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top w:val="single" w:sz="8" w:color="auto"/>
            </w:tcBorders>
          </w:tcPr>
          <w:p>
            <w:pPr>
              <w:spacing w:after="0"/>
              <w:rPr>
                <w:sz w:val="2"/>
                <w:szCs w:val="2"/>
                <w:color w:val="auto"/>
              </w:rPr>
            </w:pPr>
          </w:p>
        </w:tc>
        <w:tc>
          <w:tcPr>
            <w:tcW w:w="102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top w:val="single" w:sz="8" w:color="auto"/>
            </w:tcBorders>
          </w:tcPr>
          <w:p>
            <w:pPr>
              <w:spacing w:after="0"/>
              <w:rPr>
                <w:sz w:val="2"/>
                <w:szCs w:val="2"/>
                <w:color w:val="auto"/>
              </w:rPr>
            </w:pPr>
          </w:p>
        </w:tc>
        <w:tc>
          <w:tcPr>
            <w:tcW w:w="96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top w:val="single" w:sz="8" w:color="auto"/>
            </w:tcBorders>
          </w:tcPr>
          <w:p>
            <w:pPr>
              <w:spacing w:after="0"/>
              <w:rPr>
                <w:sz w:val="2"/>
                <w:szCs w:val="2"/>
                <w:color w:val="auto"/>
              </w:rPr>
            </w:pPr>
          </w:p>
        </w:tc>
        <w:tc>
          <w:tcPr>
            <w:tcW w:w="102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top w:val="single" w:sz="8" w:color="auto"/>
            </w:tcBorders>
          </w:tcPr>
          <w:p>
            <w:pPr>
              <w:spacing w:after="0"/>
              <w:rPr>
                <w:sz w:val="2"/>
                <w:szCs w:val="2"/>
                <w:color w:val="auto"/>
              </w:rPr>
            </w:pPr>
          </w:p>
        </w:tc>
        <w:tc>
          <w:tcPr>
            <w:tcW w:w="960" w:type="dxa"/>
            <w:vAlign w:val="bottom"/>
            <w:tcBorders>
              <w:top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5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(35,962)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(39,417)</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3,055</w:t>
            </w:r>
          </w:p>
        </w:tc>
        <w:tc>
          <w:tcPr>
            <w:tcW w:w="0" w:type="dxa"/>
            <w:vAlign w:val="bottom"/>
          </w:tcPr>
          <w:p>
            <w:pPr>
              <w:spacing w:after="0"/>
              <w:rPr>
                <w:sz w:val="1"/>
                <w:szCs w:val="1"/>
                <w:color w:val="auto"/>
              </w:rPr>
            </w:pPr>
          </w:p>
        </w:tc>
      </w:tr>
      <w:tr>
        <w:trPr>
          <w:trHeight w:val="176"/>
        </w:trPr>
        <w:tc>
          <w:tcPr>
            <w:tcW w:w="566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Changes in defined benefit pension plans, net of tax of $11, $11, $23 and</w:t>
            </w: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50</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230"/>
        </w:trPr>
        <w:tc>
          <w:tcPr>
            <w:tcW w:w="5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155"/>
        </w:trPr>
        <w:tc>
          <w:tcPr>
            <w:tcW w:w="5660" w:type="dxa"/>
            <w:vAlign w:val="bottom"/>
            <w:gridSpan w:val="2"/>
          </w:tcPr>
          <w:p>
            <w:pPr>
              <w:ind w:left="20"/>
              <w:spacing w:after="0" w:line="156" w:lineRule="exact"/>
              <w:rPr>
                <w:sz w:val="20"/>
                <w:szCs w:val="20"/>
                <w:color w:val="auto"/>
              </w:rPr>
            </w:pPr>
            <w:r>
              <w:rPr>
                <w:rFonts w:ascii="Times New Roman" w:cs="Times New Roman" w:eastAsia="Times New Roman" w:hAnsi="Times New Roman"/>
                <w:sz w:val="18"/>
                <w:szCs w:val="18"/>
                <w:color w:val="auto"/>
              </w:rPr>
              <w:t>Total comprehensive income (loss) attributable to preferred and common</w:t>
            </w:r>
          </w:p>
        </w:tc>
        <w:tc>
          <w:tcPr>
            <w:tcW w:w="300" w:type="dxa"/>
            <w:vAlign w:val="bottom"/>
            <w:vMerge w:val="restart"/>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(35,926)</w:t>
            </w:r>
          </w:p>
        </w:tc>
        <w:tc>
          <w:tcPr>
            <w:tcW w:w="100" w:type="dxa"/>
            <w:vAlign w:val="bottom"/>
          </w:tcPr>
          <w:p>
            <w:pPr>
              <w:spacing w:after="0"/>
              <w:rPr>
                <w:sz w:val="13"/>
                <w:szCs w:val="13"/>
                <w:color w:val="auto"/>
              </w:rPr>
            </w:pPr>
          </w:p>
        </w:tc>
        <w:tc>
          <w:tcPr>
            <w:tcW w:w="360" w:type="dxa"/>
            <w:vAlign w:val="bottom"/>
            <w:vMerge w:val="restart"/>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1,463</w:t>
            </w:r>
          </w:p>
        </w:tc>
        <w:tc>
          <w:tcPr>
            <w:tcW w:w="100" w:type="dxa"/>
            <w:vAlign w:val="bottom"/>
          </w:tcPr>
          <w:p>
            <w:pPr>
              <w:spacing w:after="0"/>
              <w:rPr>
                <w:sz w:val="13"/>
                <w:szCs w:val="13"/>
                <w:color w:val="auto"/>
              </w:rPr>
            </w:pPr>
          </w:p>
        </w:tc>
        <w:tc>
          <w:tcPr>
            <w:tcW w:w="300" w:type="dxa"/>
            <w:vAlign w:val="bottom"/>
            <w:vMerge w:val="restart"/>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vMerge w:val="restart"/>
          </w:tcPr>
          <w:p>
            <w:pPr>
              <w:ind w:left="380"/>
              <w:spacing w:after="0"/>
              <w:rPr>
                <w:sz w:val="20"/>
                <w:szCs w:val="20"/>
                <w:color w:val="auto"/>
              </w:rPr>
            </w:pPr>
            <w:r>
              <w:rPr>
                <w:rFonts w:ascii="Times New Roman" w:cs="Times New Roman" w:eastAsia="Times New Roman" w:hAnsi="Times New Roman"/>
                <w:sz w:val="18"/>
                <w:szCs w:val="18"/>
                <w:color w:val="auto"/>
              </w:rPr>
              <w:t>(39,345)</w:t>
            </w:r>
          </w:p>
        </w:tc>
        <w:tc>
          <w:tcPr>
            <w:tcW w:w="120" w:type="dxa"/>
            <w:vAlign w:val="bottom"/>
          </w:tcPr>
          <w:p>
            <w:pPr>
              <w:spacing w:after="0"/>
              <w:rPr>
                <w:sz w:val="13"/>
                <w:szCs w:val="13"/>
                <w:color w:val="auto"/>
              </w:rPr>
            </w:pPr>
          </w:p>
        </w:tc>
        <w:tc>
          <w:tcPr>
            <w:tcW w:w="340" w:type="dxa"/>
            <w:vAlign w:val="bottom"/>
            <w:vMerge w:val="restart"/>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3,123</w:t>
            </w:r>
          </w:p>
        </w:tc>
        <w:tc>
          <w:tcPr>
            <w:tcW w:w="0" w:type="dxa"/>
            <w:vAlign w:val="bottom"/>
          </w:tcPr>
          <w:p>
            <w:pPr>
              <w:spacing w:after="0"/>
              <w:rPr>
                <w:sz w:val="1"/>
                <w:szCs w:val="1"/>
                <w:color w:val="auto"/>
              </w:rPr>
            </w:pPr>
          </w:p>
        </w:tc>
      </w:tr>
      <w:tr>
        <w:trPr>
          <w:trHeight w:val="221"/>
        </w:trPr>
        <w:tc>
          <w:tcPr>
            <w:tcW w:w="5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stockholders</w:t>
            </w:r>
          </w:p>
        </w:tc>
        <w:tc>
          <w:tcPr>
            <w:tcW w:w="300" w:type="dxa"/>
            <w:vAlign w:val="bottom"/>
            <w:tcBorders>
              <w:bottom w:val="single" w:sz="8" w:color="auto"/>
            </w:tcBorders>
            <w:vMerge w:val="continue"/>
          </w:tcPr>
          <w:p>
            <w:pPr>
              <w:spacing w:after="0"/>
              <w:rPr>
                <w:sz w:val="18"/>
                <w:szCs w:val="18"/>
                <w:color w:val="auto"/>
              </w:rPr>
            </w:pPr>
          </w:p>
        </w:tc>
        <w:tc>
          <w:tcPr>
            <w:tcW w:w="102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Borders>
              <w:bottom w:val="single" w:sz="8" w:color="auto"/>
            </w:tcBorders>
            <w:vMerge w:val="continue"/>
          </w:tcPr>
          <w:p>
            <w:pPr>
              <w:spacing w:after="0"/>
              <w:rPr>
                <w:sz w:val="18"/>
                <w:szCs w:val="18"/>
                <w:color w:val="auto"/>
              </w:rPr>
            </w:pPr>
          </w:p>
        </w:tc>
        <w:tc>
          <w:tcPr>
            <w:tcW w:w="96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bottom w:val="single" w:sz="8" w:color="auto"/>
            </w:tcBorders>
            <w:vMerge w:val="continue"/>
          </w:tcPr>
          <w:p>
            <w:pPr>
              <w:spacing w:after="0"/>
              <w:rPr>
                <w:sz w:val="18"/>
                <w:szCs w:val="18"/>
                <w:color w:val="auto"/>
              </w:rPr>
            </w:pPr>
          </w:p>
        </w:tc>
        <w:tc>
          <w:tcPr>
            <w:tcW w:w="102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Borders>
              <w:bottom w:val="single" w:sz="8" w:color="auto"/>
            </w:tcBorders>
            <w:vMerge w:val="continue"/>
          </w:tcPr>
          <w:p>
            <w:pPr>
              <w:spacing w:after="0"/>
              <w:rPr>
                <w:sz w:val="18"/>
                <w:szCs w:val="18"/>
                <w:color w:val="auto"/>
              </w:rPr>
            </w:pPr>
          </w:p>
        </w:tc>
        <w:tc>
          <w:tcPr>
            <w:tcW w:w="9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5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See notes to condensed consolidated financial statements.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color w:val="auto"/>
        </w:rPr>
        <w:t>The E.W. Scripps Company</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 (Unaudited)</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0" w:type="dxa"/>
            <w:vAlign w:val="bottom"/>
            <w:gridSpan w:val="4"/>
          </w:tcPr>
          <w:p>
            <w:pPr>
              <w:jc w:val="right"/>
              <w:ind w:right="730"/>
              <w:spacing w:after="0"/>
              <w:rPr>
                <w:sz w:val="20"/>
                <w:szCs w:val="20"/>
                <w:color w:val="auto"/>
              </w:rPr>
            </w:pPr>
            <w:r>
              <w:rPr>
                <w:rFonts w:ascii="Times New Roman" w:cs="Times New Roman" w:eastAsia="Times New Roman" w:hAnsi="Times New Roman"/>
                <w:sz w:val="18"/>
                <w:szCs w:val="18"/>
                <w:color w:val="auto"/>
              </w:rPr>
              <w:t>Six Months Ended</w:t>
            </w:r>
          </w:p>
        </w:tc>
      </w:tr>
      <w:tr>
        <w:trPr>
          <w:trHeight w:val="236"/>
        </w:trPr>
        <w:tc>
          <w:tcPr>
            <w:tcW w:w="8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gridSpan w:val="3"/>
          </w:tcPr>
          <w:p>
            <w:pPr>
              <w:jc w:val="right"/>
              <w:ind w:right="50"/>
              <w:spacing w:after="0"/>
              <w:rPr>
                <w:sz w:val="20"/>
                <w:szCs w:val="20"/>
                <w:color w:val="auto"/>
              </w:rPr>
            </w:pPr>
            <w:r>
              <w:rPr>
                <w:rFonts w:ascii="Times New Roman" w:cs="Times New Roman" w:eastAsia="Times New Roman" w:hAnsi="Times New Roman"/>
                <w:sz w:val="18"/>
                <w:szCs w:val="18"/>
                <w:color w:val="auto"/>
              </w:rPr>
              <w:t>June 30,</w:t>
            </w:r>
          </w:p>
        </w:tc>
        <w:tc>
          <w:tcPr>
            <w:tcW w:w="1020" w:type="dxa"/>
            <w:vAlign w:val="bottom"/>
            <w:tcBorders>
              <w:bottom w:val="single" w:sz="8" w:color="auto"/>
            </w:tcBorders>
          </w:tcPr>
          <w:p>
            <w:pPr>
              <w:spacing w:after="0"/>
              <w:rPr>
                <w:sz w:val="20"/>
                <w:szCs w:val="20"/>
                <w:color w:val="auto"/>
              </w:rPr>
            </w:pPr>
          </w:p>
        </w:tc>
      </w:tr>
      <w:tr>
        <w:trPr>
          <w:trHeight w:val="230"/>
        </w:trPr>
        <w:tc>
          <w:tcPr>
            <w:tcW w:w="8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320" w:type="dxa"/>
            <w:vAlign w:val="bottom"/>
          </w:tcPr>
          <w:p>
            <w:pPr>
              <w:spacing w:after="0"/>
              <w:rPr>
                <w:sz w:val="19"/>
                <w:szCs w:val="19"/>
                <w:color w:val="auto"/>
              </w:rPr>
            </w:pPr>
          </w:p>
        </w:tc>
        <w:tc>
          <w:tcPr>
            <w:tcW w:w="108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2025</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2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2024</w:t>
            </w:r>
          </w:p>
        </w:tc>
      </w:tr>
      <w:tr>
        <w:trPr>
          <w:trHeight w:val="34"/>
        </w:trPr>
        <w:tc>
          <w:tcPr>
            <w:tcW w:w="822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top w:val="single" w:sz="8" w:color="auto"/>
            </w:tcBorders>
          </w:tcPr>
          <w:p>
            <w:pPr>
              <w:spacing w:after="0"/>
              <w:rPr>
                <w:sz w:val="2"/>
                <w:szCs w:val="2"/>
                <w:color w:val="auto"/>
              </w:rPr>
            </w:pPr>
          </w:p>
        </w:tc>
        <w:tc>
          <w:tcPr>
            <w:tcW w:w="108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top w:val="single" w:sz="8" w:color="auto"/>
            </w:tcBorders>
          </w:tcPr>
          <w:p>
            <w:pPr>
              <w:spacing w:after="0"/>
              <w:rPr>
                <w:sz w:val="2"/>
                <w:szCs w:val="2"/>
                <w:color w:val="auto"/>
              </w:rPr>
            </w:pPr>
          </w:p>
        </w:tc>
        <w:tc>
          <w:tcPr>
            <w:tcW w:w="1020" w:type="dxa"/>
            <w:vAlign w:val="bottom"/>
            <w:tcBorders>
              <w:top w:val="single" w:sz="8" w:color="auto"/>
            </w:tcBorders>
          </w:tcPr>
          <w:p>
            <w:pPr>
              <w:spacing w:after="0"/>
              <w:rPr>
                <w:sz w:val="2"/>
                <w:szCs w:val="2"/>
                <w:color w:val="auto"/>
              </w:rPr>
            </w:pPr>
          </w:p>
        </w:tc>
      </w:tr>
      <w:tr>
        <w:trPr>
          <w:trHeight w:val="229"/>
        </w:trPr>
        <w:tc>
          <w:tcPr>
            <w:tcW w:w="8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29"/>
        </w:trPr>
        <w:tc>
          <w:tcPr>
            <w:tcW w:w="8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(39,417)</w:t>
            </w:r>
          </w:p>
        </w:tc>
        <w:tc>
          <w:tcPr>
            <w:tcW w:w="12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3,055</w:t>
            </w:r>
          </w:p>
        </w:tc>
      </w:tr>
      <w:tr>
        <w:trPr>
          <w:trHeight w:val="230"/>
        </w:trPr>
        <w:tc>
          <w:tcPr>
            <w:tcW w:w="8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income (loss) to net cash flows from operating activities:</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29"/>
        </w:trPr>
        <w:tc>
          <w:tcPr>
            <w:tcW w:w="83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75,658</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77,156</w:t>
            </w:r>
          </w:p>
        </w:tc>
      </w:tr>
      <w:tr>
        <w:trPr>
          <w:trHeight w:val="229"/>
        </w:trPr>
        <w:tc>
          <w:tcPr>
            <w:tcW w:w="83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Losses (gains), net on disposal of property and equipment</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(31,488)</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30"/>
        </w:trPr>
        <w:tc>
          <w:tcPr>
            <w:tcW w:w="83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2,972</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3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Programming assets and liabilities</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13,223</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3,411</w:t>
            </w:r>
          </w:p>
        </w:tc>
      </w:tr>
      <w:tr>
        <w:trPr>
          <w:trHeight w:val="230"/>
        </w:trPr>
        <w:tc>
          <w:tcPr>
            <w:tcW w:w="83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Restructuring impairment charges</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1,397</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3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Losses (gains) on sale of investments</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(18,018)</w:t>
            </w:r>
          </w:p>
        </w:tc>
      </w:tr>
      <w:tr>
        <w:trPr>
          <w:trHeight w:val="229"/>
        </w:trPr>
        <w:tc>
          <w:tcPr>
            <w:tcW w:w="83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Deferred income taxes</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(16,850)</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(9,792)</w:t>
            </w:r>
          </w:p>
        </w:tc>
      </w:tr>
      <w:tr>
        <w:trPr>
          <w:trHeight w:val="230"/>
        </w:trPr>
        <w:tc>
          <w:tcPr>
            <w:tcW w:w="83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Stock and deferred compensation plans</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14,192</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12,756</w:t>
            </w:r>
          </w:p>
        </w:tc>
      </w:tr>
      <w:tr>
        <w:trPr>
          <w:trHeight w:val="229"/>
        </w:trPr>
        <w:tc>
          <w:tcPr>
            <w:tcW w:w="83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Pension contributions, net of income/expense</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(998)</w:t>
            </w:r>
          </w:p>
        </w:tc>
      </w:tr>
      <w:tr>
        <w:trPr>
          <w:trHeight w:val="230"/>
        </w:trPr>
        <w:tc>
          <w:tcPr>
            <w:tcW w:w="83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changes in certain working capital accounts, net</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(48,935)</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(3,395)</w:t>
            </w:r>
          </w:p>
        </w:tc>
      </w:tr>
      <w:tr>
        <w:trPr>
          <w:trHeight w:val="229"/>
        </w:trPr>
        <w:tc>
          <w:tcPr>
            <w:tcW w:w="832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8"/>
                <w:szCs w:val="18"/>
                <w:color w:val="auto"/>
              </w:rPr>
              <w:t>Miscellaneous, net</w:t>
            </w: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15,371</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7,632</w:t>
            </w:r>
          </w:p>
        </w:tc>
      </w:tr>
      <w:tr>
        <w:trPr>
          <w:trHeight w:val="223"/>
        </w:trPr>
        <w:tc>
          <w:tcPr>
            <w:tcW w:w="8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operating activities</w:t>
            </w: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(13,858)</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71,797</w:t>
            </w:r>
          </w:p>
        </w:tc>
      </w:tr>
      <w:tr>
        <w:trPr>
          <w:trHeight w:val="210"/>
        </w:trPr>
        <w:tc>
          <w:tcPr>
            <w:tcW w:w="83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29"/>
        </w:trPr>
        <w:tc>
          <w:tcPr>
            <w:tcW w:w="8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Additions to property and equipment</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(17,245)</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(45,705)</w:t>
            </w:r>
          </w:p>
        </w:tc>
      </w:tr>
      <w:tr>
        <w:trPr>
          <w:trHeight w:val="230"/>
        </w:trPr>
        <w:tc>
          <w:tcPr>
            <w:tcW w:w="8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Purchase of investments</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(6,928)</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(1,606)</w:t>
            </w:r>
          </w:p>
        </w:tc>
      </w:tr>
      <w:tr>
        <w:trPr>
          <w:trHeight w:val="229"/>
        </w:trPr>
        <w:tc>
          <w:tcPr>
            <w:tcW w:w="8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Proceeds from sale of property and equipment</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40,664</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w:t>
            </w:r>
          </w:p>
        </w:tc>
      </w:tr>
      <w:tr>
        <w:trPr>
          <w:trHeight w:val="230"/>
        </w:trPr>
        <w:tc>
          <w:tcPr>
            <w:tcW w:w="83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Proceeds from sale of investments</w:t>
            </w: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18,108</w:t>
            </w:r>
          </w:p>
        </w:tc>
      </w:tr>
      <w:tr>
        <w:trPr>
          <w:trHeight w:val="223"/>
        </w:trPr>
        <w:tc>
          <w:tcPr>
            <w:tcW w:w="8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16,533</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(28,978)</w:t>
            </w:r>
          </w:p>
        </w:tc>
      </w:tr>
      <w:tr>
        <w:trPr>
          <w:trHeight w:val="210"/>
        </w:trPr>
        <w:tc>
          <w:tcPr>
            <w:tcW w:w="83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29"/>
        </w:trPr>
        <w:tc>
          <w:tcPr>
            <w:tcW w:w="8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borrowings (payments) under revolving credit facility</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70,000</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(40,000)</w:t>
            </w:r>
          </w:p>
        </w:tc>
      </w:tr>
      <w:tr>
        <w:trPr>
          <w:trHeight w:val="230"/>
        </w:trPr>
        <w:tc>
          <w:tcPr>
            <w:tcW w:w="8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Proceeds received from accounts receivable securitization facility</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422,600</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Payments on accounts receivable securitization facility</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(57,100)</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Proceeds from issuance of long-term debt</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885,369</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Payments on long-term debt</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(1,266,427)</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(7,806)</w:t>
            </w:r>
          </w:p>
        </w:tc>
      </w:tr>
      <w:tr>
        <w:trPr>
          <w:trHeight w:val="230"/>
        </w:trPr>
        <w:tc>
          <w:tcPr>
            <w:tcW w:w="8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Payments of deferred financing costs</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(43,195)</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Payments of debt extinguishment costs</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(2,819)</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Tax payments related to shares withheld for vested stock and RSUs</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(874)</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(1,785)</w:t>
            </w:r>
          </w:p>
        </w:tc>
      </w:tr>
      <w:tr>
        <w:trPr>
          <w:trHeight w:val="229"/>
        </w:trPr>
        <w:tc>
          <w:tcPr>
            <w:tcW w:w="8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Miscellaneous, net</w:t>
            </w: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(2,421)</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(1,896)</w:t>
            </w:r>
          </w:p>
        </w:tc>
      </w:tr>
      <w:tr>
        <w:trPr>
          <w:trHeight w:val="223"/>
        </w:trPr>
        <w:tc>
          <w:tcPr>
            <w:tcW w:w="83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5,133</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(51,487)</w:t>
            </w:r>
          </w:p>
        </w:tc>
      </w:tr>
      <w:tr>
        <w:trPr>
          <w:trHeight w:val="223"/>
        </w:trPr>
        <w:tc>
          <w:tcPr>
            <w:tcW w:w="8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Increase (decrease) in cash and cash equivalents</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7,808</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(8,668)</w:t>
            </w:r>
          </w:p>
        </w:tc>
      </w:tr>
      <w:tr>
        <w:trPr>
          <w:trHeight w:val="230"/>
        </w:trPr>
        <w:tc>
          <w:tcPr>
            <w:tcW w:w="8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29"/>
        </w:trPr>
        <w:tc>
          <w:tcPr>
            <w:tcW w:w="8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of year</w:t>
            </w: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23,852</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35,319</w:t>
            </w:r>
          </w:p>
        </w:tc>
      </w:tr>
      <w:tr>
        <w:trPr>
          <w:trHeight w:val="223"/>
        </w:trPr>
        <w:tc>
          <w:tcPr>
            <w:tcW w:w="8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End of period</w:t>
            </w: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31,660</w:t>
            </w:r>
          </w:p>
        </w:tc>
        <w:tc>
          <w:tcPr>
            <w:tcW w:w="12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26,651</w:t>
            </w:r>
          </w:p>
        </w:tc>
      </w:tr>
      <w:tr>
        <w:trPr>
          <w:trHeight w:val="20"/>
        </w:trPr>
        <w:tc>
          <w:tcPr>
            <w:tcW w:w="82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37"/>
        </w:trPr>
        <w:tc>
          <w:tcPr>
            <w:tcW w:w="8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r>
      <w:tr>
        <w:trPr>
          <w:trHeight w:val="230"/>
        </w:trPr>
        <w:tc>
          <w:tcPr>
            <w:tcW w:w="83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Cash Flow Disclosures</w:t>
            </w: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55"/>
        </w:trPr>
        <w:tc>
          <w:tcPr>
            <w:tcW w:w="83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paid</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81,906</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101,158</w:t>
            </w:r>
          </w:p>
        </w:tc>
      </w:tr>
      <w:tr>
        <w:trPr>
          <w:trHeight w:val="20"/>
        </w:trPr>
        <w:tc>
          <w:tcPr>
            <w:tcW w:w="8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8320" w:type="dxa"/>
            <w:vAlign w:val="bottom"/>
            <w:gridSpan w:val="2"/>
          </w:tcPr>
          <w:p>
            <w:pPr>
              <w:ind w:left="20"/>
              <w:spacing w:after="0" w:line="203" w:lineRule="exact"/>
              <w:rPr>
                <w:sz w:val="20"/>
                <w:szCs w:val="20"/>
                <w:color w:val="auto"/>
              </w:rPr>
            </w:pPr>
            <w:r>
              <w:rPr>
                <w:rFonts w:ascii="Times New Roman" w:cs="Times New Roman" w:eastAsia="Times New Roman" w:hAnsi="Times New Roman"/>
                <w:sz w:val="18"/>
                <w:szCs w:val="18"/>
                <w:color w:val="auto"/>
              </w:rPr>
              <w:t>Income taxes paid</w:t>
            </w:r>
          </w:p>
        </w:tc>
        <w:tc>
          <w:tcPr>
            <w:tcW w:w="320" w:type="dxa"/>
            <w:vAlign w:val="bottom"/>
            <w:tcBorders>
              <w:bottom w:val="single" w:sz="8" w:color="auto"/>
            </w:tcBorders>
          </w:tcPr>
          <w:p>
            <w:pPr>
              <w:jc w:val="right"/>
              <w:ind w:right="11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12,729</w:t>
            </w:r>
          </w:p>
        </w:tc>
        <w:tc>
          <w:tcPr>
            <w:tcW w:w="120" w:type="dxa"/>
            <w:vAlign w:val="bottom"/>
          </w:tcPr>
          <w:p>
            <w:pPr>
              <w:spacing w:after="0"/>
              <w:rPr>
                <w:sz w:val="17"/>
                <w:szCs w:val="17"/>
                <w:color w:val="auto"/>
              </w:rPr>
            </w:pPr>
          </w:p>
        </w:tc>
        <w:tc>
          <w:tcPr>
            <w:tcW w:w="380" w:type="dxa"/>
            <w:vAlign w:val="bottom"/>
            <w:tcBorders>
              <w:bottom w:val="single" w:sz="8" w:color="auto"/>
            </w:tcBorders>
          </w:tcPr>
          <w:p>
            <w:pPr>
              <w:jc w:val="right"/>
              <w:ind w:right="19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34,570</w:t>
            </w:r>
          </w:p>
        </w:tc>
      </w:tr>
      <w:tr>
        <w:trPr>
          <w:trHeight w:val="20"/>
        </w:trPr>
        <w:tc>
          <w:tcPr>
            <w:tcW w:w="82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196"/>
        </w:trPr>
        <w:tc>
          <w:tcPr>
            <w:tcW w:w="8320" w:type="dxa"/>
            <w:vAlign w:val="bottom"/>
            <w:gridSpan w:val="2"/>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Non-cash investing information</w:t>
            </w: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230"/>
        </w:trPr>
        <w:tc>
          <w:tcPr>
            <w:tcW w:w="8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Accrued capital expenditures</w:t>
            </w: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2,602</w:t>
            </w:r>
          </w:p>
        </w:tc>
        <w:tc>
          <w:tcPr>
            <w:tcW w:w="12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471</w:t>
            </w:r>
          </w:p>
        </w:tc>
      </w:tr>
      <w:tr>
        <w:trPr>
          <w:trHeight w:val="20"/>
        </w:trPr>
        <w:tc>
          <w:tcPr>
            <w:tcW w:w="8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See notes to condensed consolidated financial statements.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color w:val="auto"/>
        </w:rPr>
        <w:t>The E.W. Scripps Company</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Equity (Unaudited)</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2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color w:val="auto"/>
              </w:rPr>
              <w:t>Accumulated</w:t>
            </w: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370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auto"/>
              </w:rPr>
              <w:t>Three Months Ended</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gridSpan w:val="3"/>
            <w:vMerge w:val="restart"/>
          </w:tcPr>
          <w:p>
            <w:pPr>
              <w:jc w:val="center"/>
              <w:ind w:right="300"/>
              <w:spacing w:after="0"/>
              <w:rPr>
                <w:sz w:val="20"/>
                <w:szCs w:val="20"/>
                <w:color w:val="auto"/>
              </w:rPr>
            </w:pPr>
            <w:r>
              <w:rPr>
                <w:rFonts w:ascii="Times New Roman" w:cs="Times New Roman" w:eastAsia="Times New Roman" w:hAnsi="Times New Roman"/>
                <w:sz w:val="16"/>
                <w:szCs w:val="16"/>
                <w:color w:val="auto"/>
                <w:w w:val="99"/>
              </w:rPr>
              <w:t>Additional</w:t>
            </w:r>
          </w:p>
        </w:tc>
        <w:tc>
          <w:tcPr>
            <w:tcW w:w="20" w:type="dxa"/>
            <w:vAlign w:val="bottom"/>
          </w:tcPr>
          <w:p>
            <w:pPr>
              <w:spacing w:after="0"/>
              <w:rPr>
                <w:sz w:val="14"/>
                <w:szCs w:val="14"/>
                <w:color w:val="auto"/>
              </w:rPr>
            </w:pPr>
          </w:p>
        </w:tc>
        <w:tc>
          <w:tcPr>
            <w:tcW w:w="1340" w:type="dxa"/>
            <w:vAlign w:val="bottom"/>
            <w:gridSpan w:val="3"/>
            <w:vMerge w:val="restart"/>
          </w:tcPr>
          <w:p>
            <w:pPr>
              <w:spacing w:after="0"/>
              <w:rPr>
                <w:sz w:val="20"/>
                <w:szCs w:val="20"/>
                <w:color w:val="auto"/>
              </w:rPr>
            </w:pPr>
            <w:r>
              <w:rPr>
                <w:rFonts w:ascii="Times New Roman" w:cs="Times New Roman" w:eastAsia="Times New Roman" w:hAnsi="Times New Roman"/>
                <w:sz w:val="16"/>
                <w:szCs w:val="16"/>
                <w:color w:val="auto"/>
              </w:rPr>
              <w:t>Retained Earnings</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20" w:type="dxa"/>
            <w:vAlign w:val="bottom"/>
            <w:gridSpan w:val="2"/>
          </w:tcPr>
          <w:p>
            <w:pPr>
              <w:jc w:val="center"/>
              <w:ind w:right="300"/>
              <w:spacing w:after="0" w:line="162" w:lineRule="exact"/>
              <w:rPr>
                <w:sz w:val="20"/>
                <w:szCs w:val="20"/>
                <w:color w:val="auto"/>
              </w:rPr>
            </w:pPr>
            <w:r>
              <w:rPr>
                <w:rFonts w:ascii="Times New Roman" w:cs="Times New Roman" w:eastAsia="Times New Roman" w:hAnsi="Times New Roman"/>
                <w:sz w:val="16"/>
                <w:szCs w:val="16"/>
                <w:color w:val="auto"/>
                <w:w w:val="98"/>
              </w:rPr>
              <w:t>Other</w:t>
            </w: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70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3"/>
            <w:vMerge w:val="restart"/>
          </w:tcPr>
          <w:p>
            <w:pPr>
              <w:jc w:val="center"/>
              <w:ind w:right="320"/>
              <w:spacing w:after="0"/>
              <w:rPr>
                <w:sz w:val="20"/>
                <w:szCs w:val="20"/>
                <w:color w:val="auto"/>
              </w:rPr>
            </w:pPr>
            <w:r>
              <w:rPr>
                <w:rFonts w:ascii="Times New Roman" w:cs="Times New Roman" w:eastAsia="Times New Roman" w:hAnsi="Times New Roman"/>
                <w:sz w:val="16"/>
                <w:szCs w:val="16"/>
                <w:color w:val="auto"/>
              </w:rPr>
              <w:t>Preferred</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3"/>
            <w:vMerge w:val="restart"/>
          </w:tcPr>
          <w:p>
            <w:pPr>
              <w:jc w:val="center"/>
              <w:ind w:right="300"/>
              <w:spacing w:after="0"/>
              <w:rPr>
                <w:sz w:val="20"/>
                <w:szCs w:val="20"/>
                <w:color w:val="auto"/>
              </w:rPr>
            </w:pPr>
            <w:r>
              <w:rPr>
                <w:rFonts w:ascii="Times New Roman" w:cs="Times New Roman" w:eastAsia="Times New Roman" w:hAnsi="Times New Roman"/>
                <w:sz w:val="16"/>
                <w:szCs w:val="16"/>
                <w:color w:val="auto"/>
              </w:rPr>
              <w:t>Common</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gridSpan w:val="3"/>
            <w:vMerge w:val="continue"/>
          </w:tcPr>
          <w:p>
            <w:pPr>
              <w:spacing w:after="0"/>
              <w:rPr>
                <w:sz w:val="14"/>
                <w:szCs w:val="14"/>
                <w:color w:val="auto"/>
              </w:rPr>
            </w:pPr>
          </w:p>
        </w:tc>
        <w:tc>
          <w:tcPr>
            <w:tcW w:w="20" w:type="dxa"/>
            <w:vAlign w:val="bottom"/>
          </w:tcPr>
          <w:p>
            <w:pPr>
              <w:spacing w:after="0"/>
              <w:rPr>
                <w:sz w:val="14"/>
                <w:szCs w:val="14"/>
                <w:color w:val="auto"/>
              </w:rPr>
            </w:pPr>
          </w:p>
        </w:tc>
        <w:tc>
          <w:tcPr>
            <w:tcW w:w="1340" w:type="dxa"/>
            <w:vAlign w:val="bottom"/>
            <w:gridSpan w:val="3"/>
            <w:vMerge w:val="continue"/>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20" w:type="dxa"/>
            <w:vAlign w:val="bottom"/>
            <w:gridSpan w:val="2"/>
          </w:tcPr>
          <w:p>
            <w:pPr>
              <w:jc w:val="center"/>
              <w:ind w:right="280"/>
              <w:spacing w:after="0" w:line="162" w:lineRule="exact"/>
              <w:rPr>
                <w:sz w:val="20"/>
                <w:szCs w:val="20"/>
                <w:color w:val="auto"/>
              </w:rPr>
            </w:pPr>
            <w:r>
              <w:rPr>
                <w:rFonts w:ascii="Times New Roman" w:cs="Times New Roman" w:eastAsia="Times New Roman" w:hAnsi="Times New Roman"/>
                <w:sz w:val="16"/>
                <w:szCs w:val="16"/>
                <w:color w:val="auto"/>
              </w:rPr>
              <w:t>Comprehensive</w:t>
            </w:r>
          </w:p>
        </w:tc>
        <w:tc>
          <w:tcPr>
            <w:tcW w:w="180" w:type="dxa"/>
            <w:vAlign w:val="bottom"/>
          </w:tcPr>
          <w:p>
            <w:pPr>
              <w:spacing w:after="0"/>
              <w:rPr>
                <w:sz w:val="14"/>
                <w:szCs w:val="14"/>
                <w:color w:val="auto"/>
              </w:rPr>
            </w:pPr>
          </w:p>
        </w:tc>
        <w:tc>
          <w:tcPr>
            <w:tcW w:w="880" w:type="dxa"/>
            <w:vAlign w:val="bottom"/>
            <w:vMerge w:val="restart"/>
          </w:tcPr>
          <w:p>
            <w:pPr>
              <w:jc w:val="right"/>
              <w:ind w:right="272"/>
              <w:spacing w:after="0"/>
              <w:rPr>
                <w:sz w:val="20"/>
                <w:szCs w:val="20"/>
                <w:color w:val="auto"/>
              </w:rPr>
            </w:pPr>
            <w:r>
              <w:rPr>
                <w:rFonts w:ascii="Times New Roman" w:cs="Times New Roman" w:eastAsia="Times New Roman" w:hAnsi="Times New Roman"/>
                <w:sz w:val="16"/>
                <w:szCs w:val="16"/>
                <w:color w:val="auto"/>
              </w:rPr>
              <w:t>Total</w:t>
            </w:r>
          </w:p>
        </w:tc>
        <w:tc>
          <w:tcPr>
            <w:tcW w:w="0" w:type="dxa"/>
            <w:vAlign w:val="bottom"/>
          </w:tcPr>
          <w:p>
            <w:pPr>
              <w:spacing w:after="0"/>
              <w:rPr>
                <w:sz w:val="1"/>
                <w:szCs w:val="1"/>
                <w:color w:val="auto"/>
              </w:rPr>
            </w:pPr>
          </w:p>
        </w:tc>
      </w:tr>
      <w:tr>
        <w:trPr>
          <w:trHeight w:val="162"/>
        </w:trPr>
        <w:tc>
          <w:tcPr>
            <w:tcW w:w="3700" w:type="dxa"/>
            <w:vAlign w:val="bottom"/>
            <w:gridSpan w:val="2"/>
          </w:tcPr>
          <w:p>
            <w:pPr>
              <w:ind w:left="20"/>
              <w:spacing w:after="0" w:line="162" w:lineRule="exact"/>
              <w:rPr>
                <w:sz w:val="20"/>
                <w:szCs w:val="20"/>
                <w:color w:val="auto"/>
              </w:rPr>
            </w:pPr>
            <w:r>
              <w:rPr>
                <w:rFonts w:ascii="Times New Roman" w:cs="Times New Roman" w:eastAsia="Times New Roman" w:hAnsi="Times New Roman"/>
                <w:sz w:val="16"/>
                <w:szCs w:val="16"/>
                <w:color w:val="auto"/>
              </w:rPr>
              <w:t>June 30, 2025 and 2024</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3"/>
            <w:vMerge w:val="continue"/>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3"/>
            <w:vMerge w:val="continue"/>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gridSpan w:val="3"/>
          </w:tcPr>
          <w:p>
            <w:pPr>
              <w:jc w:val="center"/>
              <w:ind w:right="300"/>
              <w:spacing w:after="0" w:line="162" w:lineRule="exact"/>
              <w:rPr>
                <w:sz w:val="20"/>
                <w:szCs w:val="20"/>
                <w:color w:val="auto"/>
              </w:rPr>
            </w:pPr>
            <w:r>
              <w:rPr>
                <w:rFonts w:ascii="Times New Roman" w:cs="Times New Roman" w:eastAsia="Times New Roman" w:hAnsi="Times New Roman"/>
                <w:sz w:val="16"/>
                <w:szCs w:val="16"/>
                <w:color w:val="auto"/>
              </w:rPr>
              <w:t>Paid-in</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2"/>
          </w:tcPr>
          <w:p>
            <w:pPr>
              <w:jc w:val="center"/>
              <w:ind w:right="260"/>
              <w:spacing w:after="0" w:line="162" w:lineRule="exact"/>
              <w:rPr>
                <w:sz w:val="20"/>
                <w:szCs w:val="20"/>
                <w:color w:val="auto"/>
              </w:rPr>
            </w:pPr>
            <w:r>
              <w:rPr>
                <w:rFonts w:ascii="Times New Roman" w:cs="Times New Roman" w:eastAsia="Times New Roman" w:hAnsi="Times New Roman"/>
                <w:sz w:val="16"/>
                <w:szCs w:val="16"/>
                <w:color w:val="auto"/>
              </w:rPr>
              <w:t>(Accumulated</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20" w:type="dxa"/>
            <w:vAlign w:val="bottom"/>
            <w:gridSpan w:val="2"/>
          </w:tcPr>
          <w:p>
            <w:pPr>
              <w:jc w:val="center"/>
              <w:ind w:right="280"/>
              <w:spacing w:after="0" w:line="162" w:lineRule="exact"/>
              <w:rPr>
                <w:sz w:val="20"/>
                <w:szCs w:val="20"/>
                <w:color w:val="auto"/>
              </w:rPr>
            </w:pPr>
            <w:r>
              <w:rPr>
                <w:rFonts w:ascii="Times New Roman" w:cs="Times New Roman" w:eastAsia="Times New Roman" w:hAnsi="Times New Roman"/>
                <w:sz w:val="16"/>
                <w:szCs w:val="16"/>
                <w:color w:val="auto"/>
              </w:rPr>
              <w:t>Income (Loss)</w:t>
            </w:r>
          </w:p>
        </w:tc>
        <w:tc>
          <w:tcPr>
            <w:tcW w:w="18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3700" w:type="dxa"/>
            <w:vAlign w:val="bottom"/>
            <w:gridSpan w:val="2"/>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 except per share data)</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3"/>
          </w:tcPr>
          <w:p>
            <w:pPr>
              <w:jc w:val="center"/>
              <w:ind w:right="300"/>
              <w:spacing w:after="0"/>
              <w:rPr>
                <w:sz w:val="20"/>
                <w:szCs w:val="20"/>
                <w:color w:val="auto"/>
              </w:rPr>
            </w:pPr>
            <w:r>
              <w:rPr>
                <w:rFonts w:ascii="Times New Roman" w:cs="Times New Roman" w:eastAsia="Times New Roman" w:hAnsi="Times New Roman"/>
                <w:sz w:val="16"/>
                <w:szCs w:val="16"/>
                <w:color w:val="auto"/>
              </w:rPr>
              <w:t>Stock</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3"/>
          </w:tcPr>
          <w:p>
            <w:pPr>
              <w:jc w:val="center"/>
              <w:ind w:right="280"/>
              <w:spacing w:after="0"/>
              <w:rPr>
                <w:sz w:val="20"/>
                <w:szCs w:val="20"/>
                <w:color w:val="auto"/>
              </w:rPr>
            </w:pPr>
            <w:r>
              <w:rPr>
                <w:rFonts w:ascii="Times New Roman" w:cs="Times New Roman" w:eastAsia="Times New Roman" w:hAnsi="Times New Roman"/>
                <w:sz w:val="16"/>
                <w:szCs w:val="16"/>
                <w:color w:val="auto"/>
              </w:rPr>
              <w:t>Stock</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3"/>
          </w:tcPr>
          <w:p>
            <w:pPr>
              <w:jc w:val="center"/>
              <w:ind w:right="300"/>
              <w:spacing w:after="0"/>
              <w:rPr>
                <w:sz w:val="20"/>
                <w:szCs w:val="20"/>
                <w:color w:val="auto"/>
              </w:rPr>
            </w:pPr>
            <w:r>
              <w:rPr>
                <w:rFonts w:ascii="Times New Roman" w:cs="Times New Roman" w:eastAsia="Times New Roman" w:hAnsi="Times New Roman"/>
                <w:sz w:val="16"/>
                <w:szCs w:val="16"/>
                <w:color w:val="auto"/>
              </w:rPr>
              <w:t>Capital</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color w:val="auto"/>
              </w:rPr>
              <w:t>Deficit)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color w:val="auto"/>
              </w:rPr>
              <w:t>("AOCI")</w:t>
            </w:r>
          </w:p>
        </w:tc>
        <w:tc>
          <w:tcPr>
            <w:tcW w:w="180" w:type="dxa"/>
            <w:vAlign w:val="bottom"/>
          </w:tcPr>
          <w:p>
            <w:pPr>
              <w:spacing w:after="0"/>
              <w:rPr>
                <w:sz w:val="18"/>
                <w:szCs w:val="18"/>
                <w:color w:val="auto"/>
              </w:rPr>
            </w:pPr>
          </w:p>
        </w:tc>
        <w:tc>
          <w:tcPr>
            <w:tcW w:w="880" w:type="dxa"/>
            <w:vAlign w:val="bottom"/>
          </w:tcPr>
          <w:p>
            <w:pPr>
              <w:jc w:val="right"/>
              <w:ind w:right="232"/>
              <w:spacing w:after="0"/>
              <w:rPr>
                <w:sz w:val="20"/>
                <w:szCs w:val="20"/>
                <w:color w:val="auto"/>
              </w:rPr>
            </w:pPr>
            <w:r>
              <w:rPr>
                <w:rFonts w:ascii="Times New Roman" w:cs="Times New Roman" w:eastAsia="Times New Roman" w:hAnsi="Times New Roman"/>
                <w:sz w:val="16"/>
                <w:szCs w:val="16"/>
                <w:color w:val="auto"/>
              </w:rPr>
              <w:t>Equity</w:t>
            </w:r>
          </w:p>
        </w:tc>
        <w:tc>
          <w:tcPr>
            <w:tcW w:w="0" w:type="dxa"/>
            <w:vAlign w:val="bottom"/>
          </w:tcPr>
          <w:p>
            <w:pPr>
              <w:spacing w:after="0"/>
              <w:rPr>
                <w:sz w:val="1"/>
                <w:szCs w:val="1"/>
                <w:color w:val="auto"/>
              </w:rPr>
            </w:pPr>
          </w:p>
        </w:tc>
      </w:tr>
      <w:tr>
        <w:trPr>
          <w:trHeight w:val="76"/>
        </w:trPr>
        <w:tc>
          <w:tcPr>
            <w:tcW w:w="360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40" w:type="dxa"/>
            <w:vAlign w:val="bottom"/>
            <w:tcBorders>
              <w:top w:val="single" w:sz="8" w:color="auto"/>
            </w:tcBorders>
          </w:tcPr>
          <w:p>
            <w:pPr>
              <w:spacing w:after="0"/>
              <w:rPr>
                <w:sz w:val="6"/>
                <w:szCs w:val="6"/>
                <w:color w:val="auto"/>
              </w:rPr>
            </w:pPr>
          </w:p>
        </w:tc>
        <w:tc>
          <w:tcPr>
            <w:tcW w:w="160" w:type="dxa"/>
            <w:vAlign w:val="bottom"/>
            <w:tcBorders>
              <w:top w:val="single" w:sz="8" w:color="auto"/>
            </w:tcBorders>
          </w:tcPr>
          <w:p>
            <w:pPr>
              <w:spacing w:after="0"/>
              <w:rPr>
                <w:sz w:val="6"/>
                <w:szCs w:val="6"/>
                <w:color w:val="auto"/>
              </w:rPr>
            </w:pPr>
          </w:p>
        </w:tc>
        <w:tc>
          <w:tcPr>
            <w:tcW w:w="900" w:type="dxa"/>
            <w:vAlign w:val="bottom"/>
            <w:tcBorders>
              <w:top w:val="single" w:sz="8" w:color="auto"/>
            </w:tcBorders>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Borders>
              <w:top w:val="single" w:sz="8" w:color="auto"/>
            </w:tcBorders>
          </w:tcPr>
          <w:p>
            <w:pPr>
              <w:spacing w:after="0"/>
              <w:rPr>
                <w:sz w:val="6"/>
                <w:szCs w:val="6"/>
                <w:color w:val="auto"/>
              </w:rPr>
            </w:pPr>
          </w:p>
        </w:tc>
        <w:tc>
          <w:tcPr>
            <w:tcW w:w="140" w:type="dxa"/>
            <w:vAlign w:val="bottom"/>
            <w:tcBorders>
              <w:top w:val="single" w:sz="8" w:color="auto"/>
            </w:tcBorders>
          </w:tcPr>
          <w:p>
            <w:pPr>
              <w:spacing w:after="0"/>
              <w:rPr>
                <w:sz w:val="6"/>
                <w:szCs w:val="6"/>
                <w:color w:val="auto"/>
              </w:rPr>
            </w:pPr>
          </w:p>
        </w:tc>
        <w:tc>
          <w:tcPr>
            <w:tcW w:w="780" w:type="dxa"/>
            <w:vAlign w:val="bottom"/>
            <w:tcBorders>
              <w:top w:val="single" w:sz="8" w:color="auto"/>
            </w:tcBorders>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Borders>
              <w:top w:val="single" w:sz="8" w:color="auto"/>
            </w:tcBorders>
          </w:tcPr>
          <w:p>
            <w:pPr>
              <w:spacing w:after="0"/>
              <w:rPr>
                <w:sz w:val="6"/>
                <w:szCs w:val="6"/>
                <w:color w:val="auto"/>
              </w:rPr>
            </w:pPr>
          </w:p>
        </w:tc>
        <w:tc>
          <w:tcPr>
            <w:tcW w:w="140" w:type="dxa"/>
            <w:vAlign w:val="bottom"/>
            <w:tcBorders>
              <w:top w:val="single" w:sz="8" w:color="auto"/>
            </w:tcBorders>
          </w:tcPr>
          <w:p>
            <w:pPr>
              <w:spacing w:after="0"/>
              <w:rPr>
                <w:sz w:val="6"/>
                <w:szCs w:val="6"/>
                <w:color w:val="auto"/>
              </w:rPr>
            </w:pPr>
          </w:p>
        </w:tc>
        <w:tc>
          <w:tcPr>
            <w:tcW w:w="940" w:type="dxa"/>
            <w:vAlign w:val="bottom"/>
            <w:tcBorders>
              <w:top w:val="single" w:sz="8" w:color="auto"/>
            </w:tcBorders>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Borders>
              <w:top w:val="single" w:sz="8" w:color="auto"/>
            </w:tcBorders>
          </w:tcPr>
          <w:p>
            <w:pPr>
              <w:spacing w:after="0"/>
              <w:rPr>
                <w:sz w:val="6"/>
                <w:szCs w:val="6"/>
                <w:color w:val="auto"/>
              </w:rPr>
            </w:pPr>
          </w:p>
        </w:tc>
        <w:tc>
          <w:tcPr>
            <w:tcW w:w="120" w:type="dxa"/>
            <w:vAlign w:val="bottom"/>
            <w:tcBorders>
              <w:top w:val="single" w:sz="8" w:color="auto"/>
            </w:tcBorders>
          </w:tcPr>
          <w:p>
            <w:pPr>
              <w:spacing w:after="0"/>
              <w:rPr>
                <w:sz w:val="6"/>
                <w:szCs w:val="6"/>
                <w:color w:val="auto"/>
              </w:rPr>
            </w:pPr>
          </w:p>
        </w:tc>
        <w:tc>
          <w:tcPr>
            <w:tcW w:w="112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Borders>
              <w:top w:val="single" w:sz="8" w:color="auto"/>
            </w:tcBorders>
          </w:tcPr>
          <w:p>
            <w:pPr>
              <w:spacing w:after="0"/>
              <w:rPr>
                <w:sz w:val="6"/>
                <w:szCs w:val="6"/>
                <w:color w:val="auto"/>
              </w:rPr>
            </w:pPr>
          </w:p>
        </w:tc>
        <w:tc>
          <w:tcPr>
            <w:tcW w:w="160" w:type="dxa"/>
            <w:vAlign w:val="bottom"/>
            <w:tcBorders>
              <w:top w:val="single" w:sz="8" w:color="auto"/>
            </w:tcBorders>
          </w:tcPr>
          <w:p>
            <w:pPr>
              <w:spacing w:after="0"/>
              <w:rPr>
                <w:sz w:val="6"/>
                <w:szCs w:val="6"/>
                <w:color w:val="auto"/>
              </w:rPr>
            </w:pPr>
          </w:p>
        </w:tc>
        <w:tc>
          <w:tcPr>
            <w:tcW w:w="1300" w:type="dxa"/>
            <w:vAlign w:val="bottom"/>
            <w:tcBorders>
              <w:top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Borders>
              <w:top w:val="single" w:sz="8" w:color="auto"/>
            </w:tcBorders>
          </w:tcPr>
          <w:p>
            <w:pPr>
              <w:spacing w:after="0"/>
              <w:rPr>
                <w:sz w:val="6"/>
                <w:szCs w:val="6"/>
                <w:color w:val="auto"/>
              </w:rPr>
            </w:pPr>
          </w:p>
        </w:tc>
        <w:tc>
          <w:tcPr>
            <w:tcW w:w="880" w:type="dxa"/>
            <w:vAlign w:val="bottom"/>
            <w:tcBorders>
              <w:top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30"/>
        </w:trPr>
        <w:tc>
          <w:tcPr>
            <w:tcW w:w="3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 of March 31, 2025</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417,430</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877</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1,456,145</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(479,459)</w:t>
            </w:r>
          </w:p>
        </w:tc>
        <w:tc>
          <w:tcPr>
            <w:tcW w:w="100" w:type="dxa"/>
            <w:vAlign w:val="bottom"/>
            <w:shd w:val="clear" w:color="auto" w:fill="CCEEFF"/>
          </w:tcPr>
          <w:p>
            <w:pPr>
              <w:spacing w:after="0"/>
              <w:rPr>
                <w:sz w:val="19"/>
                <w:szCs w:val="19"/>
                <w:color w:val="auto"/>
              </w:rPr>
            </w:pP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(75,270)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1,319,723</w:t>
            </w:r>
          </w:p>
        </w:tc>
        <w:tc>
          <w:tcPr>
            <w:tcW w:w="0" w:type="dxa"/>
            <w:vAlign w:val="bottom"/>
          </w:tcPr>
          <w:p>
            <w:pPr>
              <w:spacing w:after="0"/>
              <w:rPr>
                <w:sz w:val="1"/>
                <w:szCs w:val="1"/>
                <w:color w:val="auto"/>
              </w:rPr>
            </w:pPr>
          </w:p>
        </w:tc>
      </w:tr>
      <w:tr>
        <w:trPr>
          <w:trHeight w:val="229"/>
        </w:trPr>
        <w:tc>
          <w:tcPr>
            <w:tcW w:w="3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Comprehensive income (loss)</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(35,962)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(35,926)</w:t>
            </w:r>
          </w:p>
        </w:tc>
        <w:tc>
          <w:tcPr>
            <w:tcW w:w="0" w:type="dxa"/>
            <w:vAlign w:val="bottom"/>
          </w:tcPr>
          <w:p>
            <w:pPr>
              <w:spacing w:after="0"/>
              <w:rPr>
                <w:sz w:val="1"/>
                <w:szCs w:val="1"/>
                <w:color w:val="auto"/>
              </w:rPr>
            </w:pPr>
          </w:p>
        </w:tc>
      </w:tr>
      <w:tr>
        <w:trPr>
          <w:trHeight w:val="175"/>
        </w:trPr>
        <w:tc>
          <w:tcPr>
            <w:tcW w:w="370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Preferred stock dividends, $577 of issuance costs</w:t>
            </w: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accretion</w:t>
            </w:r>
          </w:p>
        </w:tc>
        <w:tc>
          <w:tcPr>
            <w:tcW w:w="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w:t>
            </w:r>
          </w:p>
        </w:tc>
        <w:tc>
          <w:tcPr>
            <w:tcW w:w="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w:t>
            </w: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3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Compensation plans: 622,654 net shares issued *</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6,187</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6,193</w:t>
            </w:r>
          </w:p>
        </w:tc>
        <w:tc>
          <w:tcPr>
            <w:tcW w:w="0" w:type="dxa"/>
            <w:vAlign w:val="bottom"/>
          </w:tcPr>
          <w:p>
            <w:pPr>
              <w:spacing w:after="0"/>
              <w:rPr>
                <w:sz w:val="1"/>
                <w:szCs w:val="1"/>
                <w:color w:val="auto"/>
              </w:rPr>
            </w:pPr>
          </w:p>
        </w:tc>
      </w:tr>
      <w:tr>
        <w:trPr>
          <w:trHeight w:val="248"/>
        </w:trPr>
        <w:tc>
          <w:tcPr>
            <w:tcW w:w="370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 of June 30, 2025</w:t>
            </w:r>
          </w:p>
        </w:tc>
        <w:tc>
          <w:tcPr>
            <w:tcW w:w="2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418,007</w:t>
            </w: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883</w:t>
            </w: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1,461,755</w:t>
            </w: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(515,421)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(75,234)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1,289,990</w:t>
            </w:r>
          </w:p>
        </w:tc>
        <w:tc>
          <w:tcPr>
            <w:tcW w:w="0" w:type="dxa"/>
            <w:vAlign w:val="bottom"/>
          </w:tcPr>
          <w:p>
            <w:pPr>
              <w:spacing w:after="0"/>
              <w:rPr>
                <w:sz w:val="1"/>
                <w:szCs w:val="1"/>
                <w:color w:val="auto"/>
              </w:rPr>
            </w:pPr>
          </w:p>
        </w:tc>
      </w:tr>
      <w:tr>
        <w:trPr>
          <w:trHeight w:val="20"/>
        </w:trPr>
        <w:tc>
          <w:tcPr>
            <w:tcW w:w="36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gridSpan w:val="2"/>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gridSpan w:val="2"/>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gridSpan w:val="2"/>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5"/>
        </w:trPr>
        <w:tc>
          <w:tcPr>
            <w:tcW w:w="8580" w:type="dxa"/>
            <w:vAlign w:val="bottom"/>
            <w:gridSpan w:val="21"/>
          </w:tcPr>
          <w:p>
            <w:pPr>
              <w:spacing w:after="0"/>
              <w:rPr>
                <w:sz w:val="20"/>
                <w:szCs w:val="20"/>
                <w:color w:val="auto"/>
              </w:rPr>
            </w:pPr>
            <w:r>
              <w:rPr>
                <w:rFonts w:ascii="Times New Roman" w:cs="Times New Roman" w:eastAsia="Times New Roman" w:hAnsi="Times New Roman"/>
                <w:sz w:val="18"/>
                <w:szCs w:val="18"/>
                <w:i w:val="1"/>
                <w:iCs w:val="1"/>
                <w:color w:val="auto"/>
              </w:rPr>
              <w:t>* Net of tax payments related to shares withheld for vested RSUs of $64 for the three months ended June 30, 2025</w:t>
            </w:r>
            <w:r>
              <w:rPr>
                <w:rFonts w:ascii="Times New Roman" w:cs="Times New Roman" w:eastAsia="Times New Roman" w:hAnsi="Times New Roman"/>
                <w:sz w:val="18"/>
                <w:szCs w:val="18"/>
                <w:color w:val="auto"/>
              </w:rPr>
              <w:t>.</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700" w:type="dxa"/>
            <w:vAlign w:val="bottom"/>
            <w:gridSpan w:val="2"/>
          </w:tcPr>
          <w:p>
            <w:pPr>
              <w:spacing w:after="0"/>
              <w:rPr>
                <w:sz w:val="23"/>
                <w:szCs w:val="23"/>
                <w:color w:val="auto"/>
              </w:rPr>
            </w:pPr>
          </w:p>
        </w:tc>
        <w:tc>
          <w:tcPr>
            <w:tcW w:w="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3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 of March 31, 2024</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415,125</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854</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1,442,055</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(620,596)</w:t>
            </w:r>
          </w:p>
        </w:tc>
        <w:tc>
          <w:tcPr>
            <w:tcW w:w="100" w:type="dxa"/>
            <w:vAlign w:val="bottom"/>
            <w:shd w:val="clear" w:color="auto" w:fill="CCEEFF"/>
          </w:tcPr>
          <w:p>
            <w:pPr>
              <w:spacing w:after="0"/>
              <w:rPr>
                <w:sz w:val="19"/>
                <w:szCs w:val="19"/>
                <w:color w:val="auto"/>
              </w:rPr>
            </w:pP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(75,476)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1,161,962</w:t>
            </w:r>
          </w:p>
        </w:tc>
        <w:tc>
          <w:tcPr>
            <w:tcW w:w="0" w:type="dxa"/>
            <w:vAlign w:val="bottom"/>
          </w:tcPr>
          <w:p>
            <w:pPr>
              <w:spacing w:after="0"/>
              <w:rPr>
                <w:sz w:val="1"/>
                <w:szCs w:val="1"/>
                <w:color w:val="auto"/>
              </w:rPr>
            </w:pPr>
          </w:p>
        </w:tc>
      </w:tr>
      <w:tr>
        <w:trPr>
          <w:trHeight w:val="229"/>
        </w:trPr>
        <w:tc>
          <w:tcPr>
            <w:tcW w:w="3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Comprehensive income (loss)</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1,429</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1,463</w:t>
            </w:r>
          </w:p>
        </w:tc>
        <w:tc>
          <w:tcPr>
            <w:tcW w:w="0" w:type="dxa"/>
            <w:vAlign w:val="bottom"/>
          </w:tcPr>
          <w:p>
            <w:pPr>
              <w:spacing w:after="0"/>
              <w:rPr>
                <w:sz w:val="1"/>
                <w:szCs w:val="1"/>
                <w:color w:val="auto"/>
              </w:rPr>
            </w:pPr>
          </w:p>
        </w:tc>
      </w:tr>
      <w:tr>
        <w:trPr>
          <w:trHeight w:val="176"/>
        </w:trPr>
        <w:tc>
          <w:tcPr>
            <w:tcW w:w="370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Preferred stock dividends, $577 of issuance costs</w:t>
            </w: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accretion</w:t>
            </w:r>
          </w:p>
        </w:tc>
        <w:tc>
          <w:tcPr>
            <w:tcW w:w="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w:t>
            </w:r>
          </w:p>
        </w:tc>
        <w:tc>
          <w:tcPr>
            <w:tcW w:w="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(577)</w:t>
            </w: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Compensation plans: 727,883 net shares issued *</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4,753</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4,760</w:t>
            </w:r>
          </w:p>
        </w:tc>
        <w:tc>
          <w:tcPr>
            <w:tcW w:w="0" w:type="dxa"/>
            <w:vAlign w:val="bottom"/>
          </w:tcPr>
          <w:p>
            <w:pPr>
              <w:spacing w:after="0"/>
              <w:rPr>
                <w:sz w:val="1"/>
                <w:szCs w:val="1"/>
                <w:color w:val="auto"/>
              </w:rPr>
            </w:pPr>
          </w:p>
        </w:tc>
      </w:tr>
      <w:tr>
        <w:trPr>
          <w:trHeight w:val="248"/>
        </w:trPr>
        <w:tc>
          <w:tcPr>
            <w:tcW w:w="370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 of June 30, 2024</w:t>
            </w: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415,702</w:t>
            </w:r>
          </w:p>
        </w:tc>
        <w:tc>
          <w:tcPr>
            <w:tcW w:w="40" w:type="dxa"/>
            <w:vAlign w:val="bottom"/>
            <w:tcBorders>
              <w:top w:val="single" w:sz="8" w:color="auto"/>
              <w:bottom w:val="single" w:sz="8" w:color="auto"/>
            </w:tcBorders>
            <w:shd w:val="clear" w:color="auto" w:fill="CCEEFF"/>
          </w:tcPr>
          <w:p>
            <w:pPr>
              <w:spacing w:after="0"/>
              <w:rPr>
                <w:sz w:val="21"/>
                <w:szCs w:val="21"/>
                <w:color w:val="auto"/>
              </w:rPr>
            </w:pP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861</w:t>
            </w:r>
          </w:p>
        </w:tc>
        <w:tc>
          <w:tcPr>
            <w:tcW w:w="40" w:type="dxa"/>
            <w:vAlign w:val="bottom"/>
            <w:tcBorders>
              <w:top w:val="single" w:sz="8" w:color="auto"/>
              <w:bottom w:val="single" w:sz="8" w:color="auto"/>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1,446,231</w:t>
            </w:r>
          </w:p>
        </w:tc>
        <w:tc>
          <w:tcPr>
            <w:tcW w:w="40" w:type="dxa"/>
            <w:vAlign w:val="bottom"/>
            <w:tcBorders>
              <w:top w:val="single" w:sz="8" w:color="auto"/>
              <w:bottom w:val="single" w:sz="8" w:color="auto"/>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(619,167)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(75,442)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1,168,185</w:t>
            </w:r>
          </w:p>
        </w:tc>
        <w:tc>
          <w:tcPr>
            <w:tcW w:w="0" w:type="dxa"/>
            <w:vAlign w:val="bottom"/>
          </w:tcPr>
          <w:p>
            <w:pPr>
              <w:spacing w:after="0"/>
              <w:rPr>
                <w:sz w:val="1"/>
                <w:szCs w:val="1"/>
                <w:color w:val="auto"/>
              </w:rPr>
            </w:pPr>
          </w:p>
        </w:tc>
      </w:tr>
      <w:tr>
        <w:trPr>
          <w:trHeight w:val="20"/>
        </w:trPr>
        <w:tc>
          <w:tcPr>
            <w:tcW w:w="36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Net of tax payments related to shares withheld for vested RSUs of $784 for the three months ended June 30, 2024.</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2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color w:val="auto"/>
              </w:rPr>
              <w:t>Accumulated</w:t>
            </w: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370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auto"/>
              </w:rPr>
              <w:t>Six Months Ended</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3"/>
            <w:vMerge w:val="restart"/>
          </w:tcPr>
          <w:p>
            <w:pPr>
              <w:jc w:val="center"/>
              <w:ind w:right="280"/>
              <w:spacing w:after="0"/>
              <w:rPr>
                <w:sz w:val="20"/>
                <w:szCs w:val="20"/>
                <w:color w:val="auto"/>
              </w:rPr>
            </w:pPr>
            <w:r>
              <w:rPr>
                <w:rFonts w:ascii="Times New Roman" w:cs="Times New Roman" w:eastAsia="Times New Roman" w:hAnsi="Times New Roman"/>
                <w:sz w:val="16"/>
                <w:szCs w:val="16"/>
                <w:color w:val="auto"/>
                <w:w w:val="99"/>
              </w:rPr>
              <w:t>Additional</w:t>
            </w:r>
          </w:p>
        </w:tc>
        <w:tc>
          <w:tcPr>
            <w:tcW w:w="20" w:type="dxa"/>
            <w:vAlign w:val="bottom"/>
          </w:tcPr>
          <w:p>
            <w:pPr>
              <w:spacing w:after="0"/>
              <w:rPr>
                <w:sz w:val="14"/>
                <w:szCs w:val="14"/>
                <w:color w:val="auto"/>
              </w:rPr>
            </w:pPr>
          </w:p>
        </w:tc>
        <w:tc>
          <w:tcPr>
            <w:tcW w:w="1340" w:type="dxa"/>
            <w:vAlign w:val="bottom"/>
            <w:gridSpan w:val="3"/>
            <w:vMerge w:val="restart"/>
          </w:tcPr>
          <w:p>
            <w:pPr>
              <w:spacing w:after="0"/>
              <w:rPr>
                <w:sz w:val="20"/>
                <w:szCs w:val="20"/>
                <w:color w:val="auto"/>
              </w:rPr>
            </w:pPr>
            <w:r>
              <w:rPr>
                <w:rFonts w:ascii="Times New Roman" w:cs="Times New Roman" w:eastAsia="Times New Roman" w:hAnsi="Times New Roman"/>
                <w:sz w:val="16"/>
                <w:szCs w:val="16"/>
                <w:color w:val="auto"/>
              </w:rPr>
              <w:t>Retained Earnings</w:t>
            </w:r>
          </w:p>
        </w:tc>
        <w:tc>
          <w:tcPr>
            <w:tcW w:w="180" w:type="dxa"/>
            <w:vAlign w:val="bottom"/>
          </w:tcPr>
          <w:p>
            <w:pPr>
              <w:spacing w:after="0"/>
              <w:rPr>
                <w:sz w:val="14"/>
                <w:szCs w:val="14"/>
                <w:color w:val="auto"/>
              </w:rPr>
            </w:pPr>
          </w:p>
        </w:tc>
        <w:tc>
          <w:tcPr>
            <w:tcW w:w="1420" w:type="dxa"/>
            <w:vAlign w:val="bottom"/>
            <w:gridSpan w:val="2"/>
          </w:tcPr>
          <w:p>
            <w:pPr>
              <w:jc w:val="center"/>
              <w:ind w:right="300"/>
              <w:spacing w:after="0" w:line="162" w:lineRule="exact"/>
              <w:rPr>
                <w:sz w:val="20"/>
                <w:szCs w:val="20"/>
                <w:color w:val="auto"/>
              </w:rPr>
            </w:pPr>
            <w:r>
              <w:rPr>
                <w:rFonts w:ascii="Times New Roman" w:cs="Times New Roman" w:eastAsia="Times New Roman" w:hAnsi="Times New Roman"/>
                <w:sz w:val="16"/>
                <w:szCs w:val="16"/>
                <w:color w:val="auto"/>
                <w:w w:val="98"/>
              </w:rPr>
              <w:t>Other</w:t>
            </w: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70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gridSpan w:val="3"/>
            <w:vMerge w:val="restart"/>
          </w:tcPr>
          <w:p>
            <w:pPr>
              <w:jc w:val="center"/>
              <w:ind w:right="300"/>
              <w:spacing w:after="0"/>
              <w:rPr>
                <w:sz w:val="20"/>
                <w:szCs w:val="20"/>
                <w:color w:val="auto"/>
              </w:rPr>
            </w:pPr>
            <w:r>
              <w:rPr>
                <w:rFonts w:ascii="Times New Roman" w:cs="Times New Roman" w:eastAsia="Times New Roman" w:hAnsi="Times New Roman"/>
                <w:sz w:val="16"/>
                <w:szCs w:val="16"/>
                <w:color w:val="auto"/>
              </w:rPr>
              <w:t>Preferred</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gridSpan w:val="3"/>
            <w:vMerge w:val="restart"/>
          </w:tcPr>
          <w:p>
            <w:pPr>
              <w:jc w:val="center"/>
              <w:ind w:right="280"/>
              <w:spacing w:after="0"/>
              <w:rPr>
                <w:sz w:val="20"/>
                <w:szCs w:val="20"/>
                <w:color w:val="auto"/>
              </w:rPr>
            </w:pPr>
            <w:r>
              <w:rPr>
                <w:rFonts w:ascii="Times New Roman" w:cs="Times New Roman" w:eastAsia="Times New Roman" w:hAnsi="Times New Roman"/>
                <w:sz w:val="16"/>
                <w:szCs w:val="16"/>
                <w:color w:val="auto"/>
              </w:rPr>
              <w:t>Common</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3"/>
            <w:vMerge w:val="continue"/>
          </w:tcPr>
          <w:p>
            <w:pPr>
              <w:spacing w:after="0"/>
              <w:rPr>
                <w:sz w:val="14"/>
                <w:szCs w:val="14"/>
                <w:color w:val="auto"/>
              </w:rPr>
            </w:pPr>
          </w:p>
        </w:tc>
        <w:tc>
          <w:tcPr>
            <w:tcW w:w="20" w:type="dxa"/>
            <w:vAlign w:val="bottom"/>
          </w:tcPr>
          <w:p>
            <w:pPr>
              <w:spacing w:after="0"/>
              <w:rPr>
                <w:sz w:val="14"/>
                <w:szCs w:val="14"/>
                <w:color w:val="auto"/>
              </w:rPr>
            </w:pPr>
          </w:p>
        </w:tc>
        <w:tc>
          <w:tcPr>
            <w:tcW w:w="1340" w:type="dxa"/>
            <w:vAlign w:val="bottom"/>
            <w:gridSpan w:val="3"/>
            <w:vMerge w:val="continue"/>
          </w:tcPr>
          <w:p>
            <w:pPr>
              <w:spacing w:after="0"/>
              <w:rPr>
                <w:sz w:val="14"/>
                <w:szCs w:val="14"/>
                <w:color w:val="auto"/>
              </w:rPr>
            </w:pPr>
          </w:p>
        </w:tc>
        <w:tc>
          <w:tcPr>
            <w:tcW w:w="180" w:type="dxa"/>
            <w:vAlign w:val="bottom"/>
          </w:tcPr>
          <w:p>
            <w:pPr>
              <w:spacing w:after="0"/>
              <w:rPr>
                <w:sz w:val="14"/>
                <w:szCs w:val="14"/>
                <w:color w:val="auto"/>
              </w:rPr>
            </w:pPr>
          </w:p>
        </w:tc>
        <w:tc>
          <w:tcPr>
            <w:tcW w:w="1420" w:type="dxa"/>
            <w:vAlign w:val="bottom"/>
            <w:gridSpan w:val="2"/>
          </w:tcPr>
          <w:p>
            <w:pPr>
              <w:jc w:val="center"/>
              <w:ind w:right="280"/>
              <w:spacing w:after="0" w:line="162" w:lineRule="exact"/>
              <w:rPr>
                <w:sz w:val="20"/>
                <w:szCs w:val="20"/>
                <w:color w:val="auto"/>
              </w:rPr>
            </w:pPr>
            <w:r>
              <w:rPr>
                <w:rFonts w:ascii="Times New Roman" w:cs="Times New Roman" w:eastAsia="Times New Roman" w:hAnsi="Times New Roman"/>
                <w:sz w:val="16"/>
                <w:szCs w:val="16"/>
                <w:color w:val="auto"/>
              </w:rPr>
              <w:t>Comprehensive</w:t>
            </w:r>
          </w:p>
        </w:tc>
        <w:tc>
          <w:tcPr>
            <w:tcW w:w="180" w:type="dxa"/>
            <w:vAlign w:val="bottom"/>
          </w:tcPr>
          <w:p>
            <w:pPr>
              <w:spacing w:after="0"/>
              <w:rPr>
                <w:sz w:val="14"/>
                <w:szCs w:val="14"/>
                <w:color w:val="auto"/>
              </w:rPr>
            </w:pPr>
          </w:p>
        </w:tc>
        <w:tc>
          <w:tcPr>
            <w:tcW w:w="880" w:type="dxa"/>
            <w:vAlign w:val="bottom"/>
            <w:vMerge w:val="restart"/>
          </w:tcPr>
          <w:p>
            <w:pPr>
              <w:jc w:val="right"/>
              <w:ind w:right="272"/>
              <w:spacing w:after="0"/>
              <w:rPr>
                <w:sz w:val="20"/>
                <w:szCs w:val="20"/>
                <w:color w:val="auto"/>
              </w:rPr>
            </w:pPr>
            <w:r>
              <w:rPr>
                <w:rFonts w:ascii="Times New Roman" w:cs="Times New Roman" w:eastAsia="Times New Roman" w:hAnsi="Times New Roman"/>
                <w:sz w:val="16"/>
                <w:szCs w:val="16"/>
                <w:color w:val="auto"/>
              </w:rPr>
              <w:t>Total</w:t>
            </w:r>
          </w:p>
        </w:tc>
        <w:tc>
          <w:tcPr>
            <w:tcW w:w="0" w:type="dxa"/>
            <w:vAlign w:val="bottom"/>
          </w:tcPr>
          <w:p>
            <w:pPr>
              <w:spacing w:after="0"/>
              <w:rPr>
                <w:sz w:val="1"/>
                <w:szCs w:val="1"/>
                <w:color w:val="auto"/>
              </w:rPr>
            </w:pPr>
          </w:p>
        </w:tc>
      </w:tr>
      <w:tr>
        <w:trPr>
          <w:trHeight w:val="162"/>
        </w:trPr>
        <w:tc>
          <w:tcPr>
            <w:tcW w:w="3700" w:type="dxa"/>
            <w:vAlign w:val="bottom"/>
            <w:gridSpan w:val="2"/>
          </w:tcPr>
          <w:p>
            <w:pPr>
              <w:ind w:left="20"/>
              <w:spacing w:after="0" w:line="162" w:lineRule="exact"/>
              <w:rPr>
                <w:sz w:val="20"/>
                <w:szCs w:val="20"/>
                <w:color w:val="auto"/>
              </w:rPr>
            </w:pPr>
            <w:r>
              <w:rPr>
                <w:rFonts w:ascii="Times New Roman" w:cs="Times New Roman" w:eastAsia="Times New Roman" w:hAnsi="Times New Roman"/>
                <w:sz w:val="16"/>
                <w:szCs w:val="16"/>
                <w:color w:val="auto"/>
              </w:rPr>
              <w:t>June 30, 2025 and 2024</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gridSpan w:val="3"/>
            <w:vMerge w:val="continue"/>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gridSpan w:val="3"/>
            <w:vMerge w:val="continue"/>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3"/>
          </w:tcPr>
          <w:p>
            <w:pPr>
              <w:jc w:val="center"/>
              <w:ind w:right="280"/>
              <w:spacing w:after="0" w:line="162" w:lineRule="exact"/>
              <w:rPr>
                <w:sz w:val="20"/>
                <w:szCs w:val="20"/>
                <w:color w:val="auto"/>
              </w:rPr>
            </w:pPr>
            <w:r>
              <w:rPr>
                <w:rFonts w:ascii="Times New Roman" w:cs="Times New Roman" w:eastAsia="Times New Roman" w:hAnsi="Times New Roman"/>
                <w:sz w:val="16"/>
                <w:szCs w:val="16"/>
                <w:color w:val="auto"/>
              </w:rPr>
              <w:t>Paid-in</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2"/>
          </w:tcPr>
          <w:p>
            <w:pPr>
              <w:jc w:val="center"/>
              <w:ind w:right="260"/>
              <w:spacing w:after="0" w:line="162" w:lineRule="exact"/>
              <w:rPr>
                <w:sz w:val="20"/>
                <w:szCs w:val="20"/>
                <w:color w:val="auto"/>
              </w:rPr>
            </w:pPr>
            <w:r>
              <w:rPr>
                <w:rFonts w:ascii="Times New Roman" w:cs="Times New Roman" w:eastAsia="Times New Roman" w:hAnsi="Times New Roman"/>
                <w:sz w:val="16"/>
                <w:szCs w:val="16"/>
                <w:color w:val="auto"/>
              </w:rPr>
              <w:t>(Accumulated</w:t>
            </w:r>
          </w:p>
        </w:tc>
        <w:tc>
          <w:tcPr>
            <w:tcW w:w="180" w:type="dxa"/>
            <w:vAlign w:val="bottom"/>
          </w:tcPr>
          <w:p>
            <w:pPr>
              <w:spacing w:after="0"/>
              <w:rPr>
                <w:sz w:val="14"/>
                <w:szCs w:val="14"/>
                <w:color w:val="auto"/>
              </w:rPr>
            </w:pPr>
          </w:p>
        </w:tc>
        <w:tc>
          <w:tcPr>
            <w:tcW w:w="1420" w:type="dxa"/>
            <w:vAlign w:val="bottom"/>
            <w:gridSpan w:val="2"/>
          </w:tcPr>
          <w:p>
            <w:pPr>
              <w:jc w:val="center"/>
              <w:ind w:right="280"/>
              <w:spacing w:after="0" w:line="162" w:lineRule="exact"/>
              <w:rPr>
                <w:sz w:val="20"/>
                <w:szCs w:val="20"/>
                <w:color w:val="auto"/>
              </w:rPr>
            </w:pPr>
            <w:r>
              <w:rPr>
                <w:rFonts w:ascii="Times New Roman" w:cs="Times New Roman" w:eastAsia="Times New Roman" w:hAnsi="Times New Roman"/>
                <w:sz w:val="16"/>
                <w:szCs w:val="16"/>
                <w:color w:val="auto"/>
              </w:rPr>
              <w:t>Income (Loss)</w:t>
            </w:r>
          </w:p>
        </w:tc>
        <w:tc>
          <w:tcPr>
            <w:tcW w:w="18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3700" w:type="dxa"/>
            <w:vAlign w:val="bottom"/>
            <w:gridSpan w:val="2"/>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 except per share data)</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3"/>
          </w:tcPr>
          <w:p>
            <w:pPr>
              <w:jc w:val="center"/>
              <w:ind w:right="280"/>
              <w:spacing w:after="0"/>
              <w:rPr>
                <w:sz w:val="20"/>
                <w:szCs w:val="20"/>
                <w:color w:val="auto"/>
              </w:rPr>
            </w:pPr>
            <w:r>
              <w:rPr>
                <w:rFonts w:ascii="Times New Roman" w:cs="Times New Roman" w:eastAsia="Times New Roman" w:hAnsi="Times New Roman"/>
                <w:sz w:val="16"/>
                <w:szCs w:val="16"/>
                <w:color w:val="auto"/>
              </w:rPr>
              <w:t>Stock</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3"/>
          </w:tcPr>
          <w:p>
            <w:pPr>
              <w:jc w:val="center"/>
              <w:ind w:right="260"/>
              <w:spacing w:after="0"/>
              <w:rPr>
                <w:sz w:val="20"/>
                <w:szCs w:val="20"/>
                <w:color w:val="auto"/>
              </w:rPr>
            </w:pPr>
            <w:r>
              <w:rPr>
                <w:rFonts w:ascii="Times New Roman" w:cs="Times New Roman" w:eastAsia="Times New Roman" w:hAnsi="Times New Roman"/>
                <w:sz w:val="16"/>
                <w:szCs w:val="16"/>
                <w:color w:val="auto"/>
              </w:rPr>
              <w:t>Stock</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3"/>
          </w:tcPr>
          <w:p>
            <w:pPr>
              <w:jc w:val="center"/>
              <w:ind w:right="280"/>
              <w:spacing w:after="0"/>
              <w:rPr>
                <w:sz w:val="20"/>
                <w:szCs w:val="20"/>
                <w:color w:val="auto"/>
              </w:rPr>
            </w:pPr>
            <w:r>
              <w:rPr>
                <w:rFonts w:ascii="Times New Roman" w:cs="Times New Roman" w:eastAsia="Times New Roman" w:hAnsi="Times New Roman"/>
                <w:sz w:val="16"/>
                <w:szCs w:val="16"/>
                <w:color w:val="auto"/>
              </w:rPr>
              <w:t>Capital</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color w:val="auto"/>
              </w:rPr>
              <w:t>Deficit)</w:t>
            </w:r>
          </w:p>
        </w:tc>
        <w:tc>
          <w:tcPr>
            <w:tcW w:w="180" w:type="dxa"/>
            <w:vAlign w:val="bottom"/>
          </w:tcPr>
          <w:p>
            <w:pPr>
              <w:spacing w:after="0"/>
              <w:rPr>
                <w:sz w:val="18"/>
                <w:szCs w:val="18"/>
                <w:color w:val="auto"/>
              </w:rPr>
            </w:pPr>
          </w:p>
        </w:tc>
        <w:tc>
          <w:tcPr>
            <w:tcW w:w="142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color w:val="auto"/>
              </w:rPr>
              <w:t>("AOCI")</w:t>
            </w:r>
          </w:p>
        </w:tc>
        <w:tc>
          <w:tcPr>
            <w:tcW w:w="180" w:type="dxa"/>
            <w:vAlign w:val="bottom"/>
          </w:tcPr>
          <w:p>
            <w:pPr>
              <w:spacing w:after="0"/>
              <w:rPr>
                <w:sz w:val="18"/>
                <w:szCs w:val="18"/>
                <w:color w:val="auto"/>
              </w:rPr>
            </w:pPr>
          </w:p>
        </w:tc>
        <w:tc>
          <w:tcPr>
            <w:tcW w:w="880" w:type="dxa"/>
            <w:vAlign w:val="bottom"/>
          </w:tcPr>
          <w:p>
            <w:pPr>
              <w:jc w:val="right"/>
              <w:ind w:right="232"/>
              <w:spacing w:after="0"/>
              <w:rPr>
                <w:sz w:val="20"/>
                <w:szCs w:val="20"/>
                <w:color w:val="auto"/>
              </w:rPr>
            </w:pPr>
            <w:r>
              <w:rPr>
                <w:rFonts w:ascii="Times New Roman" w:cs="Times New Roman" w:eastAsia="Times New Roman" w:hAnsi="Times New Roman"/>
                <w:sz w:val="16"/>
                <w:szCs w:val="16"/>
                <w:color w:val="auto"/>
              </w:rPr>
              <w:t>Equity</w:t>
            </w:r>
          </w:p>
        </w:tc>
        <w:tc>
          <w:tcPr>
            <w:tcW w:w="0" w:type="dxa"/>
            <w:vAlign w:val="bottom"/>
          </w:tcPr>
          <w:p>
            <w:pPr>
              <w:spacing w:after="0"/>
              <w:rPr>
                <w:sz w:val="1"/>
                <w:szCs w:val="1"/>
                <w:color w:val="auto"/>
              </w:rPr>
            </w:pPr>
          </w:p>
        </w:tc>
      </w:tr>
      <w:tr>
        <w:trPr>
          <w:trHeight w:val="36"/>
        </w:trPr>
        <w:tc>
          <w:tcPr>
            <w:tcW w:w="360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60" w:type="dxa"/>
            <w:vAlign w:val="bottom"/>
            <w:tcBorders>
              <w:top w:val="single" w:sz="8" w:color="auto"/>
            </w:tcBorders>
          </w:tcPr>
          <w:p>
            <w:pPr>
              <w:spacing w:after="0"/>
              <w:rPr>
                <w:sz w:val="3"/>
                <w:szCs w:val="3"/>
                <w:color w:val="auto"/>
              </w:rPr>
            </w:pPr>
          </w:p>
        </w:tc>
        <w:tc>
          <w:tcPr>
            <w:tcW w:w="920" w:type="dxa"/>
            <w:vAlign w:val="bottom"/>
            <w:tcBorders>
              <w:top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40" w:type="dxa"/>
            <w:vAlign w:val="bottom"/>
            <w:tcBorders>
              <w:top w:val="single" w:sz="8" w:color="auto"/>
            </w:tcBorders>
          </w:tcPr>
          <w:p>
            <w:pPr>
              <w:spacing w:after="0"/>
              <w:rPr>
                <w:sz w:val="3"/>
                <w:szCs w:val="3"/>
                <w:color w:val="auto"/>
              </w:rPr>
            </w:pPr>
          </w:p>
        </w:tc>
        <w:tc>
          <w:tcPr>
            <w:tcW w:w="800" w:type="dxa"/>
            <w:vAlign w:val="bottom"/>
            <w:tcBorders>
              <w:top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40" w:type="dxa"/>
            <w:vAlign w:val="bottom"/>
            <w:tcBorders>
              <w:top w:val="single" w:sz="8" w:color="auto"/>
            </w:tcBorders>
          </w:tcPr>
          <w:p>
            <w:pPr>
              <w:spacing w:after="0"/>
              <w:rPr>
                <w:sz w:val="3"/>
                <w:szCs w:val="3"/>
                <w:color w:val="auto"/>
              </w:rPr>
            </w:pPr>
          </w:p>
        </w:tc>
        <w:tc>
          <w:tcPr>
            <w:tcW w:w="960" w:type="dxa"/>
            <w:vAlign w:val="bottom"/>
            <w:tcBorders>
              <w:top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20" w:type="dxa"/>
            <w:vAlign w:val="bottom"/>
            <w:tcBorders>
              <w:top w:val="single" w:sz="8" w:color="auto"/>
            </w:tcBorders>
          </w:tcPr>
          <w:p>
            <w:pPr>
              <w:spacing w:after="0"/>
              <w:rPr>
                <w:sz w:val="3"/>
                <w:szCs w:val="3"/>
                <w:color w:val="auto"/>
              </w:rPr>
            </w:pPr>
          </w:p>
        </w:tc>
        <w:tc>
          <w:tcPr>
            <w:tcW w:w="112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Borders>
              <w:top w:val="single" w:sz="8" w:color="auto"/>
            </w:tcBorders>
          </w:tcPr>
          <w:p>
            <w:pPr>
              <w:spacing w:after="0"/>
              <w:rPr>
                <w:sz w:val="3"/>
                <w:szCs w:val="3"/>
                <w:color w:val="auto"/>
              </w:rPr>
            </w:pPr>
          </w:p>
        </w:tc>
        <w:tc>
          <w:tcPr>
            <w:tcW w:w="1300" w:type="dxa"/>
            <w:vAlign w:val="bottom"/>
            <w:tcBorders>
              <w:top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Borders>
              <w:top w:val="single" w:sz="8" w:color="auto"/>
            </w:tcBorders>
          </w:tcPr>
          <w:p>
            <w:pPr>
              <w:spacing w:after="0"/>
              <w:rPr>
                <w:sz w:val="3"/>
                <w:szCs w:val="3"/>
                <w:color w:val="auto"/>
              </w:rPr>
            </w:pPr>
          </w:p>
        </w:tc>
        <w:tc>
          <w:tcPr>
            <w:tcW w:w="880" w:type="dxa"/>
            <w:vAlign w:val="bottom"/>
            <w:tcBorders>
              <w:top w:val="single" w:sz="8" w:color="auto"/>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0"/>
        </w:trPr>
        <w:tc>
          <w:tcPr>
            <w:tcW w:w="3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 of December 31, 2024</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416,854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866</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1,451,604</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(476,004)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(75,306)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1,318,014</w:t>
            </w:r>
          </w:p>
        </w:tc>
        <w:tc>
          <w:tcPr>
            <w:tcW w:w="0" w:type="dxa"/>
            <w:vAlign w:val="bottom"/>
          </w:tcPr>
          <w:p>
            <w:pPr>
              <w:spacing w:after="0"/>
              <w:rPr>
                <w:sz w:val="1"/>
                <w:szCs w:val="1"/>
                <w:color w:val="auto"/>
              </w:rPr>
            </w:pPr>
          </w:p>
        </w:tc>
      </w:tr>
      <w:tr>
        <w:trPr>
          <w:trHeight w:val="229"/>
        </w:trPr>
        <w:tc>
          <w:tcPr>
            <w:tcW w:w="3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Comprehensive income (loss)</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(39,417)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(39,345)</w:t>
            </w:r>
          </w:p>
        </w:tc>
        <w:tc>
          <w:tcPr>
            <w:tcW w:w="0" w:type="dxa"/>
            <w:vAlign w:val="bottom"/>
          </w:tcPr>
          <w:p>
            <w:pPr>
              <w:spacing w:after="0"/>
              <w:rPr>
                <w:sz w:val="1"/>
                <w:szCs w:val="1"/>
                <w:color w:val="auto"/>
              </w:rPr>
            </w:pPr>
          </w:p>
        </w:tc>
      </w:tr>
      <w:tr>
        <w:trPr>
          <w:trHeight w:val="184"/>
        </w:trPr>
        <w:tc>
          <w:tcPr>
            <w:tcW w:w="3700" w:type="dxa"/>
            <w:vAlign w:val="bottom"/>
            <w:gridSpan w:val="2"/>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Preferred stock dividends, $1,153 of issuance</w:t>
            </w: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costs accretion</w:t>
            </w: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1,153</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(1,153)</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84"/>
        </w:trPr>
        <w:tc>
          <w:tcPr>
            <w:tcW w:w="3700" w:type="dxa"/>
            <w:vAlign w:val="bottom"/>
            <w:gridSpan w:val="2"/>
          </w:tcPr>
          <w:p>
            <w:pPr>
              <w:ind w:left="20"/>
              <w:spacing w:after="0" w:line="184" w:lineRule="exact"/>
              <w:rPr>
                <w:sz w:val="20"/>
                <w:szCs w:val="20"/>
                <w:color w:val="auto"/>
              </w:rPr>
            </w:pPr>
            <w:r>
              <w:rPr>
                <w:rFonts w:ascii="Times New Roman" w:cs="Times New Roman" w:eastAsia="Times New Roman" w:hAnsi="Times New Roman"/>
                <w:sz w:val="18"/>
                <w:szCs w:val="18"/>
                <w:color w:val="auto"/>
              </w:rPr>
              <w:t>Compensation plans: 1,705,869 net shares issued</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11,304</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11,321</w:t>
            </w:r>
          </w:p>
        </w:tc>
        <w:tc>
          <w:tcPr>
            <w:tcW w:w="0" w:type="dxa"/>
            <w:vAlign w:val="bottom"/>
          </w:tcPr>
          <w:p>
            <w:pPr>
              <w:spacing w:after="0"/>
              <w:rPr>
                <w:sz w:val="1"/>
                <w:szCs w:val="1"/>
                <w:color w:val="auto"/>
              </w:rPr>
            </w:pPr>
          </w:p>
        </w:tc>
      </w:tr>
      <w:tr>
        <w:trPr>
          <w:trHeight w:val="248"/>
        </w:trPr>
        <w:tc>
          <w:tcPr>
            <w:tcW w:w="370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 of June 30, 2025</w:t>
            </w:r>
          </w:p>
        </w:tc>
        <w:tc>
          <w:tcPr>
            <w:tcW w:w="1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418,007</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883</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1,461,755</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(515,421)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(75,234)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1,289,990</w:t>
            </w:r>
          </w:p>
        </w:tc>
        <w:tc>
          <w:tcPr>
            <w:tcW w:w="0" w:type="dxa"/>
            <w:vAlign w:val="bottom"/>
          </w:tcPr>
          <w:p>
            <w:pPr>
              <w:spacing w:after="0"/>
              <w:rPr>
                <w:sz w:val="1"/>
                <w:szCs w:val="1"/>
                <w:color w:val="auto"/>
              </w:rPr>
            </w:pPr>
          </w:p>
        </w:tc>
      </w:tr>
      <w:tr>
        <w:trPr>
          <w:trHeight w:val="20"/>
        </w:trPr>
        <w:tc>
          <w:tcPr>
            <w:tcW w:w="36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gridSpan w:val="2"/>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gridSpan w:val="2"/>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gridSpan w:val="2"/>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5"/>
        </w:trPr>
        <w:tc>
          <w:tcPr>
            <w:tcW w:w="8580" w:type="dxa"/>
            <w:vAlign w:val="bottom"/>
            <w:gridSpan w:val="21"/>
          </w:tcPr>
          <w:p>
            <w:pPr>
              <w:spacing w:after="0"/>
              <w:rPr>
                <w:sz w:val="20"/>
                <w:szCs w:val="20"/>
                <w:color w:val="auto"/>
              </w:rPr>
            </w:pPr>
            <w:r>
              <w:rPr>
                <w:rFonts w:ascii="Times New Roman" w:cs="Times New Roman" w:eastAsia="Times New Roman" w:hAnsi="Times New Roman"/>
                <w:sz w:val="18"/>
                <w:szCs w:val="18"/>
                <w:i w:val="1"/>
                <w:iCs w:val="1"/>
                <w:color w:val="auto"/>
              </w:rPr>
              <w:t>* Net of tax payments related to shares withheld for vested RSUs of $874 for the six months ended June 30, 2025.</w:t>
            </w: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3700" w:type="dxa"/>
            <w:vAlign w:val="bottom"/>
            <w:gridSpan w:val="2"/>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3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 of December 31, 2023</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414,549</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848</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1,438,518</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(622,222)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(75,510)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1,156,183</w:t>
            </w:r>
          </w:p>
        </w:tc>
        <w:tc>
          <w:tcPr>
            <w:tcW w:w="0" w:type="dxa"/>
            <w:vAlign w:val="bottom"/>
          </w:tcPr>
          <w:p>
            <w:pPr>
              <w:spacing w:after="0"/>
              <w:rPr>
                <w:sz w:val="1"/>
                <w:szCs w:val="1"/>
                <w:color w:val="auto"/>
              </w:rPr>
            </w:pPr>
          </w:p>
        </w:tc>
      </w:tr>
      <w:tr>
        <w:trPr>
          <w:trHeight w:val="230"/>
        </w:trPr>
        <w:tc>
          <w:tcPr>
            <w:tcW w:w="3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Comprehensive income (loss)</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3,123</w:t>
            </w:r>
          </w:p>
        </w:tc>
        <w:tc>
          <w:tcPr>
            <w:tcW w:w="0" w:type="dxa"/>
            <w:vAlign w:val="bottom"/>
          </w:tcPr>
          <w:p>
            <w:pPr>
              <w:spacing w:after="0"/>
              <w:rPr>
                <w:sz w:val="1"/>
                <w:szCs w:val="1"/>
                <w:color w:val="auto"/>
              </w:rPr>
            </w:pPr>
          </w:p>
        </w:tc>
      </w:tr>
      <w:tr>
        <w:trPr>
          <w:trHeight w:val="175"/>
        </w:trPr>
        <w:tc>
          <w:tcPr>
            <w:tcW w:w="370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Preferred stock dividends, $1,153 of issuance</w:t>
            </w: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costs accretion</w:t>
            </w: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1,153</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(1,153)</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1"/>
                <w:szCs w:val="21"/>
                <w:color w:val="auto"/>
              </w:rPr>
            </w:pP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6"/>
        </w:trPr>
        <w:tc>
          <w:tcPr>
            <w:tcW w:w="370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Compensation plans: 1,341,245 net shares issued</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8,866</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8,879</w:t>
            </w:r>
          </w:p>
        </w:tc>
        <w:tc>
          <w:tcPr>
            <w:tcW w:w="0" w:type="dxa"/>
            <w:vAlign w:val="bottom"/>
          </w:tcPr>
          <w:p>
            <w:pPr>
              <w:spacing w:after="0"/>
              <w:rPr>
                <w:sz w:val="1"/>
                <w:szCs w:val="1"/>
                <w:color w:val="auto"/>
              </w:rPr>
            </w:pPr>
          </w:p>
        </w:tc>
      </w:tr>
      <w:tr>
        <w:trPr>
          <w:trHeight w:val="248"/>
        </w:trPr>
        <w:tc>
          <w:tcPr>
            <w:tcW w:w="370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 of June 30, 2024</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415,702</w:t>
            </w: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861</w:t>
            </w: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1,446,231</w:t>
            </w: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(619,167)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(75,442)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1,168,185</w:t>
            </w:r>
          </w:p>
        </w:tc>
        <w:tc>
          <w:tcPr>
            <w:tcW w:w="0" w:type="dxa"/>
            <w:vAlign w:val="bottom"/>
          </w:tcPr>
          <w:p>
            <w:pPr>
              <w:spacing w:after="0"/>
              <w:rPr>
                <w:sz w:val="1"/>
                <w:szCs w:val="1"/>
                <w:color w:val="auto"/>
              </w:rPr>
            </w:pPr>
          </w:p>
        </w:tc>
      </w:tr>
      <w:tr>
        <w:trPr>
          <w:trHeight w:val="20"/>
        </w:trPr>
        <w:tc>
          <w:tcPr>
            <w:tcW w:w="36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1" w:lineRule="exact"/>
        <w:rPr>
          <w:sz w:val="20"/>
          <w:szCs w:val="20"/>
          <w:color w:val="auto"/>
        </w:rPr>
      </w:pPr>
    </w:p>
    <w:p>
      <w:pPr>
        <w:ind w:right="2940" w:firstLine="8"/>
        <w:spacing w:after="0" w:line="503" w:lineRule="auto"/>
        <w:tabs>
          <w:tab w:leader="none" w:pos="135" w:val="left"/>
        </w:tabs>
        <w:numPr>
          <w:ilvl w:val="0"/>
          <w:numId w:val="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Net of tax payments related to shares withheld for vested RSUs of $1,785 for the six months ended June 30, 2024. See notes to condensed consolidated financial statements.</w:t>
      </w: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color w:val="auto"/>
        </w:rPr>
        <w:t>The E.W. Scripps Company</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Summary of Significant Accounting Policies</w:t>
      </w:r>
    </w:p>
    <w:p>
      <w:pPr>
        <w:spacing w:after="0" w:line="189" w:lineRule="exact"/>
        <w:rPr>
          <w:sz w:val="20"/>
          <w:szCs w:val="20"/>
          <w:color w:val="auto"/>
        </w:rPr>
      </w:pPr>
    </w:p>
    <w:p>
      <w:pPr>
        <w:ind w:right="100" w:firstLine="405"/>
        <w:spacing w:after="0" w:line="282" w:lineRule="auto"/>
        <w:rPr>
          <w:sz w:val="20"/>
          <w:szCs w:val="20"/>
          <w:color w:val="auto"/>
        </w:rPr>
      </w:pPr>
      <w:r>
        <w:rPr>
          <w:rFonts w:ascii="Times New Roman" w:cs="Times New Roman" w:eastAsia="Times New Roman" w:hAnsi="Times New Roman"/>
          <w:sz w:val="18"/>
          <w:szCs w:val="18"/>
          <w:color w:val="auto"/>
        </w:rPr>
        <w:t>As used in the Notes to Condensed Consolidated Financial Statements, the terms “Scripps,” “Company,” “we,” “our,” or “us” may, depending on the context, refer to The E.W. Scripps Company, to one or more of its consolidated subsidiary companies, or to all of them taken as a whole.</w:t>
      </w:r>
    </w:p>
    <w:p>
      <w:pPr>
        <w:spacing w:after="0" w:line="131"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Basis of Presentation — </w:t>
      </w:r>
      <w:r>
        <w:rPr>
          <w:rFonts w:ascii="Times New Roman" w:cs="Times New Roman" w:eastAsia="Times New Roman" w:hAnsi="Times New Roman"/>
          <w:sz w:val="18"/>
          <w:szCs w:val="18"/>
          <w:color w:val="auto"/>
        </w:rPr>
        <w:t>The condensed consolidated financial statements have been prepared in accordance with accounting principles generally accepted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the United States of America for interim financial information and with the instructions to Form 10-Q and Rule 10-01 of Regulation S-X. The interim financial statements should be read in conjunction with the audited consolidated financial statements, including the notes thereto included in our 2024 Annual Report on Form 10-K. In management's opinion, all adjustments (consisting of normal recurring accruals) necessary for a fair presentation of the interim periods have been made.</w:t>
      </w:r>
    </w:p>
    <w:p>
      <w:pPr>
        <w:spacing w:after="0" w:line="143" w:lineRule="exact"/>
        <w:rPr>
          <w:sz w:val="20"/>
          <w:szCs w:val="20"/>
          <w:color w:val="auto"/>
        </w:rPr>
      </w:pPr>
    </w:p>
    <w:p>
      <w:pPr>
        <w:ind w:right="380" w:firstLine="405"/>
        <w:spacing w:after="0" w:line="282" w:lineRule="auto"/>
        <w:rPr>
          <w:sz w:val="20"/>
          <w:szCs w:val="20"/>
          <w:color w:val="auto"/>
        </w:rPr>
      </w:pPr>
      <w:r>
        <w:rPr>
          <w:rFonts w:ascii="Times New Roman" w:cs="Times New Roman" w:eastAsia="Times New Roman" w:hAnsi="Times New Roman"/>
          <w:sz w:val="18"/>
          <w:szCs w:val="18"/>
          <w:color w:val="auto"/>
        </w:rPr>
        <w:t>Results of operations are not necessarily indicative of the results that may be expected for future interim periods or for the full year. Additionally, certain amounts in prior periods have been reclassified to conform to the current period's presentation.</w:t>
      </w:r>
    </w:p>
    <w:p>
      <w:pPr>
        <w:spacing w:after="0" w:line="117"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Principles of Consolidation — </w:t>
      </w:r>
      <w:r>
        <w:rPr>
          <w:rFonts w:ascii="Times New Roman" w:cs="Times New Roman" w:eastAsia="Times New Roman" w:hAnsi="Times New Roman"/>
          <w:sz w:val="18"/>
          <w:szCs w:val="18"/>
          <w:color w:val="auto"/>
        </w:rPr>
        <w:t>The consolidated financial statements include our accounts and those of our wholly-owned and majority-owned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subsidiaries and variable interest entities ("VIEs") for which we are the primary beneficiary. We are the primary beneficiary of a VIE when we have the power to direct the activities of the VIE that most significantly impact the economic performance of the VIE and have the obligation to absorb losses or the right to receive returns that would be significant to the VIE. All intercompany transactions and account balances have been eliminated in consolidation.</w:t>
      </w:r>
    </w:p>
    <w:p>
      <w:pPr>
        <w:spacing w:after="0" w:line="207" w:lineRule="exact"/>
        <w:rPr>
          <w:sz w:val="20"/>
          <w:szCs w:val="20"/>
          <w:color w:val="auto"/>
        </w:rPr>
      </w:pPr>
    </w:p>
    <w:p>
      <w:pPr>
        <w:ind w:right="360" w:firstLine="405"/>
        <w:spacing w:after="0" w:line="282" w:lineRule="auto"/>
        <w:rPr>
          <w:sz w:val="20"/>
          <w:szCs w:val="20"/>
          <w:color w:val="auto"/>
        </w:rPr>
      </w:pPr>
      <w:r>
        <w:rPr>
          <w:rFonts w:ascii="Times New Roman" w:cs="Times New Roman" w:eastAsia="Times New Roman" w:hAnsi="Times New Roman"/>
          <w:sz w:val="18"/>
          <w:szCs w:val="18"/>
          <w:color w:val="auto"/>
        </w:rPr>
        <w:t>Investments in entities over which we have significant influence but not control are accounted for using the equity method of accounting. Income from equity method investments represents our proportionate share of net income generated by equity method investees.</w:t>
      </w:r>
    </w:p>
    <w:p>
      <w:pPr>
        <w:spacing w:after="0" w:line="131" w:lineRule="exact"/>
        <w:rPr>
          <w:sz w:val="20"/>
          <w:szCs w:val="20"/>
          <w:color w:val="auto"/>
        </w:rPr>
      </w:pPr>
    </w:p>
    <w:p>
      <w:pPr>
        <w:ind w:right="10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Nature of Operations — </w:t>
      </w:r>
      <w:r>
        <w:rPr>
          <w:rFonts w:ascii="Times New Roman" w:cs="Times New Roman" w:eastAsia="Times New Roman" w:hAnsi="Times New Roman"/>
          <w:sz w:val="18"/>
          <w:szCs w:val="18"/>
          <w:color w:val="auto"/>
        </w:rPr>
        <w:t>We are a diverse media enterprise, serving audiences and businesses through a portfolio of local television stations and national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news and entertainment networks. All of our businesses also have digital presences across online, mobile, connected television and social platforms, reaching consumers on all devices and platforms they use to consume content. Our media businesses are organized into the following reportable segments: Local Media, Scripps Networks and Other. Additional information for our segments is presented in Note 11. Segment Information.</w:t>
      </w:r>
    </w:p>
    <w:p>
      <w:pPr>
        <w:spacing w:after="0" w:line="203" w:lineRule="exact"/>
        <w:rPr>
          <w:sz w:val="20"/>
          <w:szCs w:val="20"/>
          <w:color w:val="auto"/>
        </w:rPr>
      </w:pPr>
    </w:p>
    <w:p>
      <w:pPr>
        <w:jc w:val="both"/>
        <w:ind w:right="12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Use of Estimates — </w:t>
      </w:r>
      <w:r>
        <w:rPr>
          <w:rFonts w:ascii="Times New Roman" w:cs="Times New Roman" w:eastAsia="Times New Roman" w:hAnsi="Times New Roman"/>
          <w:sz w:val="18"/>
          <w:szCs w:val="18"/>
          <w:color w:val="auto"/>
        </w:rPr>
        <w:t>Preparing financial statements in accordance with accounting principles generally accepted in the United States of America requires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us to make a variety of decisions that affect the reported amounts and the related disclosures. Such decisions include the selection of accounting principles that reflect the economic substance of the underlying transactions and the assumptions on which to base accounting estimates. In reaching such decisions, we apply judgment based on our understanding and analysis of the relevant circumstances, including our historical experience, actuarial studies and other assumptions.</w:t>
      </w:r>
    </w:p>
    <w:p>
      <w:pPr>
        <w:spacing w:after="0" w:line="210" w:lineRule="exact"/>
        <w:rPr>
          <w:sz w:val="20"/>
          <w:szCs w:val="20"/>
          <w:color w:val="auto"/>
        </w:rPr>
      </w:pPr>
    </w:p>
    <w:p>
      <w:pPr>
        <w:ind w:right="20" w:firstLine="445"/>
        <w:spacing w:after="0" w:line="261" w:lineRule="auto"/>
        <w:rPr>
          <w:sz w:val="20"/>
          <w:szCs w:val="20"/>
          <w:color w:val="auto"/>
        </w:rPr>
      </w:pPr>
      <w:r>
        <w:rPr>
          <w:rFonts w:ascii="Times New Roman" w:cs="Times New Roman" w:eastAsia="Times New Roman" w:hAnsi="Times New Roman"/>
          <w:sz w:val="18"/>
          <w:szCs w:val="18"/>
          <w:color w:val="auto"/>
        </w:rPr>
        <w:t>Our financial statements include estimates and assumptions used in accounting for our defined benefit pension plan; the periods over which long-lived assets are depreciated or amortized; the fair value of long-lived assets, goodwill and indefinite lived assets; the liability for uncertain tax positions and valuation allowances against deferred income tax assets; the fair value of assets acquired and liabilities assumed in business combinations; and self-insured risks.</w:t>
      </w:r>
    </w:p>
    <w:p>
      <w:pPr>
        <w:spacing w:after="0" w:line="139" w:lineRule="exact"/>
        <w:rPr>
          <w:sz w:val="20"/>
          <w:szCs w:val="20"/>
          <w:color w:val="auto"/>
        </w:rPr>
      </w:pPr>
    </w:p>
    <w:p>
      <w:pPr>
        <w:ind w:right="200" w:firstLine="445"/>
        <w:spacing w:after="0" w:line="282" w:lineRule="auto"/>
        <w:rPr>
          <w:sz w:val="20"/>
          <w:szCs w:val="20"/>
          <w:color w:val="auto"/>
        </w:rPr>
      </w:pPr>
      <w:r>
        <w:rPr>
          <w:rFonts w:ascii="Times New Roman" w:cs="Times New Roman" w:eastAsia="Times New Roman" w:hAnsi="Times New Roman"/>
          <w:sz w:val="18"/>
          <w:szCs w:val="18"/>
          <w:color w:val="auto"/>
        </w:rPr>
        <w:t>While we re-evaluate our estimates and assumptions on an ongoing basis, actual results could differ from those estimated at the time of preparation of the financial statements.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Nature of Products and Services — </w:t>
      </w:r>
      <w:r>
        <w:rPr>
          <w:rFonts w:ascii="Times New Roman" w:cs="Times New Roman" w:eastAsia="Times New Roman" w:hAnsi="Times New Roman"/>
          <w:sz w:val="18"/>
          <w:szCs w:val="18"/>
          <w:color w:val="auto"/>
        </w:rPr>
        <w:t>The following is a description of principal activities from which we generate revenue.</w:t>
      </w:r>
    </w:p>
    <w:p>
      <w:pPr>
        <w:spacing w:after="0" w:line="171" w:lineRule="exact"/>
        <w:rPr>
          <w:sz w:val="20"/>
          <w:szCs w:val="20"/>
          <w:color w:val="auto"/>
        </w:rPr>
      </w:pPr>
    </w:p>
    <w:p>
      <w:pPr>
        <w:ind w:firstLine="405"/>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Core Advertising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Core advertising is comprised of sales to local and national businesses. The advertising includes a combination of broadcast spots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 well as digital and connected TV advertising. Pricing of advertising time is based on audience size and share, the demographic of our audiences and the demand for our limited inventory of commercial time. Local advertising time is sold by each station's local sales staff who call upon advertising agencies and local businesses. National advertising time is generally sold by calling upon advertising agencies. Digital revenues are primarily generated from the sale of</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color w:val="auto"/>
        </w:rPr>
        <w:t>advertising to local and national customers on our business websites, tablet and mobile products, over-the-top apps and other platforms.</w:t>
      </w:r>
    </w:p>
    <w:p>
      <w:pPr>
        <w:spacing w:after="0" w:line="167" w:lineRule="exact"/>
        <w:rPr>
          <w:sz w:val="20"/>
          <w:szCs w:val="20"/>
          <w:color w:val="auto"/>
        </w:rPr>
      </w:pPr>
    </w:p>
    <w:p>
      <w:pPr>
        <w:ind w:right="20" w:firstLine="405"/>
        <w:spacing w:after="0" w:line="268" w:lineRule="auto"/>
        <w:rPr>
          <w:sz w:val="20"/>
          <w:szCs w:val="20"/>
          <w:color w:val="auto"/>
        </w:rPr>
      </w:pPr>
      <w:r>
        <w:rPr>
          <w:rFonts w:ascii="Times New Roman" w:cs="Times New Roman" w:eastAsia="Times New Roman" w:hAnsi="Times New Roman"/>
          <w:sz w:val="18"/>
          <w:szCs w:val="18"/>
          <w:i w:val="1"/>
          <w:iCs w:val="1"/>
          <w:color w:val="auto"/>
        </w:rPr>
        <w:t xml:space="preserve">Political Advertising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Political advertising is generally sold through our Washington, D.C. sales office. Advertising is sold to presidential,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gubernatorial, U.S. Senate and House of Representative candidates, as well as for state and local issues. It is also sold to political action groups (PACs) and other advocacy groups.</w:t>
      </w:r>
    </w:p>
    <w:p>
      <w:pPr>
        <w:spacing w:after="0" w:line="117" w:lineRule="exact"/>
        <w:rPr>
          <w:sz w:val="20"/>
          <w:szCs w:val="20"/>
          <w:color w:val="auto"/>
        </w:rPr>
      </w:pPr>
    </w:p>
    <w:p>
      <w:pPr>
        <w:ind w:right="80" w:firstLine="405"/>
        <w:spacing w:after="0" w:line="262" w:lineRule="auto"/>
        <w:rPr>
          <w:sz w:val="20"/>
          <w:szCs w:val="20"/>
          <w:color w:val="auto"/>
        </w:rPr>
      </w:pPr>
      <w:r>
        <w:rPr>
          <w:rFonts w:ascii="Times New Roman" w:cs="Times New Roman" w:eastAsia="Times New Roman" w:hAnsi="Times New Roman"/>
          <w:sz w:val="18"/>
          <w:szCs w:val="18"/>
          <w:i w:val="1"/>
          <w:iCs w:val="1"/>
          <w:color w:val="auto"/>
        </w:rPr>
        <w:t xml:space="preserve">Distribution Revenues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We earn revenues from cable operators, satellite carriers, other multi-channel video programming distributors (collectively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"MVPDs"), other online video distributors and subscribers for access rights to our local broadcast signals. These arrangements are generally governed by multi-year contracts and the fees we receive are typically based on the number of subscribers the respective distributor has in our markets and the contracted rate per subscriber.</w:t>
      </w:r>
    </w:p>
    <w:p>
      <w:pPr>
        <w:spacing w:after="0" w:line="12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Refer to Note 11. Segment Information for further information, including revenue by significant product and service offering.</w:t>
      </w:r>
    </w:p>
    <w:p>
      <w:pPr>
        <w:spacing w:after="0" w:line="181"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Revenue Recognition — </w:t>
      </w:r>
      <w:r>
        <w:rPr>
          <w:rFonts w:ascii="Times New Roman" w:cs="Times New Roman" w:eastAsia="Times New Roman" w:hAnsi="Times New Roman"/>
          <w:sz w:val="18"/>
          <w:szCs w:val="18"/>
          <w:color w:val="auto"/>
        </w:rPr>
        <w:t>Revenue is measured based on the consideration we expect to be entitled to in exchange for promised goods or services provided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customers, and excludes any amounts collected on behalf of third parties. Revenue is recognized upon transfer of control of promised products or services to customers.</w:t>
      </w:r>
    </w:p>
    <w:p>
      <w:pPr>
        <w:spacing w:after="0" w:line="117" w:lineRule="exact"/>
        <w:rPr>
          <w:sz w:val="20"/>
          <w:szCs w:val="20"/>
          <w:color w:val="auto"/>
        </w:rPr>
      </w:pPr>
    </w:p>
    <w:p>
      <w:pPr>
        <w:ind w:right="40" w:firstLine="405"/>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Advertising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Advertising revenue is recognized, net of agency commissions, over time primarily as ads are aired or impressions are delivered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any contracted audience guarantees are met. We apply the practical expedient to recognize revenue at the amount we have the right to invoice, which corresponds directly to the value a customer has received relative to our performance. For advertising sold based on audience guarantees, audience deficiency may result in an obligation to deliver additional advertisements to the customer. To the extent that we do not satisfy contracted audience ratings, we record deferred revenue until such time that the audience guarantee has been satisfied.</w:t>
      </w:r>
    </w:p>
    <w:p>
      <w:pPr>
        <w:spacing w:after="0" w:line="125" w:lineRule="exact"/>
        <w:rPr>
          <w:sz w:val="20"/>
          <w:szCs w:val="20"/>
          <w:color w:val="auto"/>
        </w:rPr>
      </w:pPr>
    </w:p>
    <w:p>
      <w:pPr>
        <w:ind w:right="20" w:firstLine="405"/>
        <w:spacing w:after="0" w:line="262" w:lineRule="auto"/>
        <w:rPr>
          <w:sz w:val="20"/>
          <w:szCs w:val="20"/>
          <w:color w:val="auto"/>
        </w:rPr>
      </w:pPr>
      <w:r>
        <w:rPr>
          <w:rFonts w:ascii="Times New Roman" w:cs="Times New Roman" w:eastAsia="Times New Roman" w:hAnsi="Times New Roman"/>
          <w:sz w:val="18"/>
          <w:szCs w:val="18"/>
          <w:i w:val="1"/>
          <w:iCs w:val="1"/>
          <w:color w:val="auto"/>
        </w:rPr>
        <w:t xml:space="preserve">Distribution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primary source of distribution revenue is from retransmission consent contracts with MVPDs. Retransmission revenues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considered licenses of functional intellectual property and are recognized at the point in time the content is transferred to the customer. MVPDs report their subscriber numbers to us generally on a 30- to 90-day lag. Prior to receiving the MVPD reporting, we record revenue based on estimates of the number of subscribers, utilizing historical levels and trends of subscribers for each MVPD.</w:t>
      </w:r>
    </w:p>
    <w:p>
      <w:pPr>
        <w:spacing w:after="0" w:line="149" w:lineRule="exact"/>
        <w:rPr>
          <w:sz w:val="20"/>
          <w:szCs w:val="20"/>
          <w:color w:val="auto"/>
        </w:rPr>
      </w:pPr>
    </w:p>
    <w:p>
      <w:pPr>
        <w:ind w:right="30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Cost of Revenues — </w:t>
      </w:r>
      <w:r>
        <w:rPr>
          <w:rFonts w:ascii="Times New Roman" w:cs="Times New Roman" w:eastAsia="Times New Roman" w:hAnsi="Times New Roman"/>
          <w:sz w:val="18"/>
          <w:szCs w:val="18"/>
          <w:color w:val="auto"/>
        </w:rPr>
        <w:t>Cost of revenues reflects the cost of providing our broadcast signals, programming and other content to respective distribution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platforms. The costs captured within the cost of revenues caption include programming, content distribution, satellite transmission fees, production and operations and other direct costs.</w:t>
      </w:r>
    </w:p>
    <w:p>
      <w:pPr>
        <w:spacing w:after="0" w:line="130"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Contract Balances — </w:t>
      </w:r>
      <w:r>
        <w:rPr>
          <w:rFonts w:ascii="Times New Roman" w:cs="Times New Roman" w:eastAsia="Times New Roman" w:hAnsi="Times New Roman"/>
          <w:sz w:val="18"/>
          <w:szCs w:val="18"/>
          <w:color w:val="auto"/>
        </w:rPr>
        <w:t>Timing of revenue recognition may differ from the timing of cash collection from customers. We record a receivable when revenue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is recognized prior to cash receipt, or unearned revenue when cash is collected in advance of revenue being recognized.</w:t>
      </w:r>
    </w:p>
    <w:p>
      <w:pPr>
        <w:spacing w:after="0" w:line="105" w:lineRule="exact"/>
        <w:rPr>
          <w:sz w:val="20"/>
          <w:szCs w:val="20"/>
          <w:color w:val="auto"/>
        </w:rPr>
      </w:pPr>
    </w:p>
    <w:p>
      <w:pPr>
        <w:ind w:right="40" w:firstLine="405"/>
        <w:spacing w:after="0" w:line="266" w:lineRule="auto"/>
        <w:rPr>
          <w:sz w:val="20"/>
          <w:szCs w:val="20"/>
          <w:color w:val="auto"/>
        </w:rPr>
      </w:pPr>
      <w:r>
        <w:rPr>
          <w:rFonts w:ascii="Times New Roman" w:cs="Times New Roman" w:eastAsia="Times New Roman" w:hAnsi="Times New Roman"/>
          <w:sz w:val="18"/>
          <w:szCs w:val="18"/>
          <w:color w:val="auto"/>
        </w:rPr>
        <w:t>Payment terms may vary by contract type, although our terms generally include a requirement of payment within 30 to 90 days. In instances where the timing of revenue recognition differs from the timing of invoicing, we have determined our contracts do not include a significant financing component. The primary purpose of our invoicing terms is to provide customers with simplified and predictable ways of purchasing our products and services.</w:t>
      </w:r>
    </w:p>
    <w:p>
      <w:pPr>
        <w:spacing w:after="0" w:line="122" w:lineRule="exact"/>
        <w:rPr>
          <w:sz w:val="20"/>
          <w:szCs w:val="20"/>
          <w:color w:val="auto"/>
        </w:rPr>
      </w:pPr>
    </w:p>
    <w:p>
      <w:pPr>
        <w:ind w:right="220" w:firstLine="405"/>
        <w:spacing w:after="0" w:line="266" w:lineRule="auto"/>
        <w:rPr>
          <w:sz w:val="20"/>
          <w:szCs w:val="20"/>
          <w:color w:val="auto"/>
        </w:rPr>
      </w:pPr>
      <w:r>
        <w:rPr>
          <w:rFonts w:ascii="Times New Roman" w:cs="Times New Roman" w:eastAsia="Times New Roman" w:hAnsi="Times New Roman"/>
          <w:sz w:val="18"/>
          <w:szCs w:val="18"/>
          <w:color w:val="auto"/>
        </w:rPr>
        <w:t>The allowance for doubtful accounts reflects our best estimate of probable losses inherent in the accounts receivable balance. We estimate the allowance based on expected credit losses, including our historical experience of actual losses and known troubled accounts. The allowance for doubtful accounts totaled $8.5 million at June 30, 2025 and $7.4 million at December 31, 2024.</w:t>
      </w:r>
    </w:p>
    <w:p>
      <w:pPr>
        <w:spacing w:after="0" w:line="122" w:lineRule="exact"/>
        <w:rPr>
          <w:sz w:val="20"/>
          <w:szCs w:val="20"/>
          <w:color w:val="auto"/>
        </w:rPr>
      </w:pPr>
    </w:p>
    <w:p>
      <w:pPr>
        <w:ind w:firstLine="405"/>
        <w:spacing w:after="0" w:line="258" w:lineRule="auto"/>
        <w:rPr>
          <w:sz w:val="20"/>
          <w:szCs w:val="20"/>
          <w:color w:val="auto"/>
        </w:rPr>
      </w:pPr>
      <w:r>
        <w:rPr>
          <w:rFonts w:ascii="Times New Roman" w:cs="Times New Roman" w:eastAsia="Times New Roman" w:hAnsi="Times New Roman"/>
          <w:sz w:val="18"/>
          <w:szCs w:val="18"/>
          <w:color w:val="auto"/>
        </w:rPr>
        <w:t>We record unearned revenue when cash payments are received in advance of our performance, including amounts which are refundable. We generally require amounts payable under advertising contracts with political advertising customers to be paid in advance. Unearned revenue totaled $16.6 million at June 30, 2025 and substantially all is expected to be recognized within revenue or refunded over the next 12 months. Unearned revenue totaled $18.2 million at December 31, 2024. We recorded $9.2 million of revenue in the six months ended June 30, 2025 that was included in unearned revenue at December 31, 2024.</w:t>
      </w:r>
    </w:p>
    <w:p>
      <w:pPr>
        <w:spacing w:after="0" w:line="206" w:lineRule="exact"/>
        <w:rPr>
          <w:sz w:val="20"/>
          <w:szCs w:val="20"/>
          <w:color w:val="auto"/>
        </w:rPr>
      </w:pPr>
    </w:p>
    <w:p>
      <w:pPr>
        <w:ind w:right="6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Leases — </w:t>
      </w:r>
      <w:r>
        <w:rPr>
          <w:rFonts w:ascii="Times New Roman" w:cs="Times New Roman" w:eastAsia="Times New Roman" w:hAnsi="Times New Roman"/>
          <w:sz w:val="18"/>
          <w:szCs w:val="18"/>
          <w:color w:val="auto"/>
        </w:rPr>
        <w:t>We determine if an arrangement is a lease at inception. Operating leases are included in operating lease right-of-use (“ROU”) assets,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current liabilities and operating lease liabilities in our Condensed Consolidated Balance Sheets. Finance leases are included in property and equipment and other long-term liabilities in our Condensed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53" w:right="379" w:bottom="1440" w:gutter="0" w:footer="0" w:header="0"/>
        </w:sectPr>
      </w:pPr>
    </w:p>
    <w:bookmarkStart w:id="13" w:name="page14"/>
    <w:bookmarkEnd w:id="13"/>
    <w:p>
      <w:pPr>
        <w:ind w:right="80" w:firstLine="405"/>
        <w:spacing w:after="0" w:line="255" w:lineRule="auto"/>
        <w:rPr>
          <w:sz w:val="20"/>
          <w:szCs w:val="20"/>
          <w:color w:val="auto"/>
        </w:rPr>
      </w:pPr>
      <w:r>
        <w:rPr>
          <w:rFonts w:ascii="Times New Roman" w:cs="Times New Roman" w:eastAsia="Times New Roman" w:hAnsi="Times New Roman"/>
          <w:sz w:val="18"/>
          <w:szCs w:val="18"/>
          <w:color w:val="auto"/>
        </w:rPr>
        <w:t>Lease assets represent our right to use an underlying asset for the lease term and lease liabilities represent our obligation to make lease payments arising from the lease. Lease assets and liabilities are recognized at the commencement date based on the present value of lease payments over the lease term. As the implicit rate is not readily determinable for most of our leases, we use our incremental borrowing rate when determining the present value of lease payments. The incremental borrowing rate represents an estimate of the interest rate we would incur at lease commencement to borrow an amount equal to the lease payments on a collateralized basis over the term of the lease. Our lease assets also include any payments made at or before commencement and are reduced by any lease incentives. Our lease terms may include options to extend or terminate the lease when it is reasonably certain that we will exercise that option. Operating lease expense is recognized on a straight-line basis over the lease term.</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Share-Based Compensation — </w:t>
      </w:r>
      <w:r>
        <w:rPr>
          <w:rFonts w:ascii="Times New Roman" w:cs="Times New Roman" w:eastAsia="Times New Roman" w:hAnsi="Times New Roman"/>
          <w:sz w:val="18"/>
          <w:szCs w:val="18"/>
          <w:color w:val="auto"/>
        </w:rPr>
        <w:t>We have a Long-Term Incentive Plan (the “Plan”) which is described more fully in our 2024 Annual Report on Form 10-</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 The Plan provides for the award of incentive and nonqualified stock options, stock appreciation rights, restricted stock units ("RSUs") and unrestricted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Class A Common shares and performance units to key employees and non-employee directors.</w:t>
      </w:r>
    </w:p>
    <w:p>
      <w:pPr>
        <w:spacing w:after="0" w:line="166" w:lineRule="exact"/>
        <w:rPr>
          <w:sz w:val="20"/>
          <w:szCs w:val="20"/>
          <w:color w:val="auto"/>
        </w:rPr>
      </w:pPr>
    </w:p>
    <w:p>
      <w:pPr>
        <w:ind w:right="60" w:firstLine="405"/>
        <w:spacing w:after="0" w:line="282" w:lineRule="auto"/>
        <w:rPr>
          <w:sz w:val="20"/>
          <w:szCs w:val="20"/>
          <w:color w:val="auto"/>
        </w:rPr>
      </w:pPr>
      <w:r>
        <w:rPr>
          <w:rFonts w:ascii="Times New Roman" w:cs="Times New Roman" w:eastAsia="Times New Roman" w:hAnsi="Times New Roman"/>
          <w:sz w:val="18"/>
          <w:szCs w:val="18"/>
          <w:color w:val="auto"/>
        </w:rPr>
        <w:t>Share-based compensation costs totaled $5.9 million and $5.0 million for the second quarter of 2025 and 2024, respectively. Year-to-date share-based compensation costs totaled $11.5 million and $9.6 million in 2025 and 2024, respectively.</w:t>
      </w:r>
    </w:p>
    <w:p>
      <w:pPr>
        <w:spacing w:after="0" w:line="131" w:lineRule="exact"/>
        <w:rPr>
          <w:sz w:val="20"/>
          <w:szCs w:val="20"/>
          <w:color w:val="auto"/>
        </w:rPr>
      </w:pPr>
    </w:p>
    <w:p>
      <w:pPr>
        <w:ind w:right="8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Earnings Per Share (“EPS”) — </w:t>
      </w:r>
      <w:r>
        <w:rPr>
          <w:rFonts w:ascii="Times New Roman" w:cs="Times New Roman" w:eastAsia="Times New Roman" w:hAnsi="Times New Roman"/>
          <w:sz w:val="18"/>
          <w:szCs w:val="18"/>
          <w:color w:val="auto"/>
        </w:rPr>
        <w:t>Unvested awards of share-based payments with non-forfeitable rights to receive dividends or dividend equivalents, such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 certain of our RSUs, are considered participating securities for purposes of calculating EPS. Under the two-class method, we allocate a portion of net income to these participating securities and, therefore, exclude that income from the calculation of EPS for common stock. We do not allocate losses to the participating securities.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20" w:type="dxa"/>
            <w:vAlign w:val="bottom"/>
            <w:gridSpan w:val="8"/>
          </w:tcPr>
          <w:p>
            <w:pPr>
              <w:ind w:left="420"/>
              <w:spacing w:after="0"/>
              <w:rPr>
                <w:sz w:val="20"/>
                <w:szCs w:val="20"/>
                <w:color w:val="auto"/>
              </w:rPr>
            </w:pPr>
            <w:r>
              <w:rPr>
                <w:rFonts w:ascii="Times New Roman" w:cs="Times New Roman" w:eastAsia="Times New Roman" w:hAnsi="Times New Roman"/>
                <w:sz w:val="18"/>
                <w:szCs w:val="18"/>
                <w:color w:val="auto"/>
              </w:rPr>
              <w:t>The following table presents information about basic and diluted weighted-average shares outstanding:</w:t>
            </w: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03"/>
        </w:trPr>
        <w:tc>
          <w:tcPr>
            <w:tcW w:w="5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20" w:type="dxa"/>
            <w:vAlign w:val="bottom"/>
            <w:gridSpan w:val="5"/>
          </w:tcPr>
          <w:p>
            <w:pPr>
              <w:ind w:left="240"/>
              <w:spacing w:after="0" w:line="202" w:lineRule="exact"/>
              <w:rPr>
                <w:sz w:val="20"/>
                <w:szCs w:val="20"/>
                <w:color w:val="auto"/>
              </w:rPr>
            </w:pPr>
            <w:r>
              <w:rPr>
                <w:rFonts w:ascii="Times New Roman" w:cs="Times New Roman" w:eastAsia="Times New Roman" w:hAnsi="Times New Roman"/>
                <w:sz w:val="18"/>
                <w:szCs w:val="18"/>
                <w:color w:val="auto"/>
              </w:rPr>
              <w:t>Three Months Ended</w:t>
            </w:r>
          </w:p>
        </w:tc>
        <w:tc>
          <w:tcPr>
            <w:tcW w:w="280" w:type="dxa"/>
            <w:vAlign w:val="bottom"/>
          </w:tcPr>
          <w:p>
            <w:pPr>
              <w:spacing w:after="0"/>
              <w:rPr>
                <w:sz w:val="17"/>
                <w:szCs w:val="17"/>
                <w:color w:val="auto"/>
              </w:rPr>
            </w:pPr>
          </w:p>
        </w:tc>
        <w:tc>
          <w:tcPr>
            <w:tcW w:w="2340" w:type="dxa"/>
            <w:vAlign w:val="bottom"/>
            <w:gridSpan w:val="4"/>
          </w:tcPr>
          <w:p>
            <w:pPr>
              <w:ind w:left="340"/>
              <w:spacing w:after="0" w:line="202" w:lineRule="exact"/>
              <w:rPr>
                <w:sz w:val="20"/>
                <w:szCs w:val="20"/>
                <w:color w:val="auto"/>
              </w:rPr>
            </w:pPr>
            <w:r>
              <w:rPr>
                <w:rFonts w:ascii="Times New Roman" w:cs="Times New Roman" w:eastAsia="Times New Roman" w:hAnsi="Times New Roman"/>
                <w:sz w:val="18"/>
                <w:szCs w:val="18"/>
                <w:color w:val="auto"/>
              </w:rPr>
              <w:t>Six Months Ended</w:t>
            </w:r>
          </w:p>
        </w:tc>
      </w:tr>
      <w:tr>
        <w:trPr>
          <w:trHeight w:val="237"/>
        </w:trPr>
        <w:tc>
          <w:tcPr>
            <w:tcW w:w="5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June 30,</w:t>
            </w:r>
          </w:p>
        </w:tc>
        <w:tc>
          <w:tcPr>
            <w:tcW w:w="9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3"/>
          </w:tcPr>
          <w:p>
            <w:pPr>
              <w:ind w:left="740"/>
              <w:spacing w:after="0"/>
              <w:rPr>
                <w:sz w:val="20"/>
                <w:szCs w:val="20"/>
                <w:color w:val="auto"/>
              </w:rPr>
            </w:pPr>
            <w:r>
              <w:rPr>
                <w:rFonts w:ascii="Times New Roman" w:cs="Times New Roman" w:eastAsia="Times New Roman" w:hAnsi="Times New Roman"/>
                <w:sz w:val="18"/>
                <w:szCs w:val="18"/>
                <w:color w:val="auto"/>
              </w:rPr>
              <w:t>June 30,</w:t>
            </w:r>
          </w:p>
        </w:tc>
        <w:tc>
          <w:tcPr>
            <w:tcW w:w="900" w:type="dxa"/>
            <w:vAlign w:val="bottom"/>
            <w:tcBorders>
              <w:bottom w:val="single" w:sz="8" w:color="auto"/>
            </w:tcBorders>
          </w:tcPr>
          <w:p>
            <w:pPr>
              <w:spacing w:after="0"/>
              <w:rPr>
                <w:sz w:val="20"/>
                <w:szCs w:val="20"/>
                <w:color w:val="auto"/>
              </w:rPr>
            </w:pPr>
          </w:p>
        </w:tc>
      </w:tr>
      <w:tr>
        <w:trPr>
          <w:trHeight w:val="229"/>
        </w:trPr>
        <w:tc>
          <w:tcPr>
            <w:tcW w:w="5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260" w:type="dxa"/>
            <w:vAlign w:val="bottom"/>
          </w:tcPr>
          <w:p>
            <w:pPr>
              <w:spacing w:after="0"/>
              <w:rPr>
                <w:sz w:val="19"/>
                <w:szCs w:val="19"/>
                <w:color w:val="auto"/>
              </w:rPr>
            </w:pPr>
          </w:p>
        </w:tc>
        <w:tc>
          <w:tcPr>
            <w:tcW w:w="98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2024</w:t>
            </w:r>
          </w:p>
        </w:tc>
      </w:tr>
      <w:tr>
        <w:trPr>
          <w:trHeight w:val="34"/>
        </w:trPr>
        <w:tc>
          <w:tcPr>
            <w:tcW w:w="582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top w:val="single" w:sz="8" w:color="auto"/>
            </w:tcBorders>
          </w:tcPr>
          <w:p>
            <w:pPr>
              <w:spacing w:after="0"/>
              <w:rPr>
                <w:sz w:val="2"/>
                <w:szCs w:val="2"/>
                <w:color w:val="auto"/>
              </w:rPr>
            </w:pPr>
          </w:p>
        </w:tc>
        <w:tc>
          <w:tcPr>
            <w:tcW w:w="9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top w:val="single" w:sz="8" w:color="auto"/>
            </w:tcBorders>
          </w:tcPr>
          <w:p>
            <w:pPr>
              <w:spacing w:after="0"/>
              <w:rPr>
                <w:sz w:val="2"/>
                <w:szCs w:val="2"/>
                <w:color w:val="auto"/>
              </w:rPr>
            </w:pPr>
          </w:p>
        </w:tc>
        <w:tc>
          <w:tcPr>
            <w:tcW w:w="9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top w:val="single" w:sz="8" w:color="auto"/>
            </w:tcBorders>
          </w:tcPr>
          <w:p>
            <w:pPr>
              <w:spacing w:after="0"/>
              <w:rPr>
                <w:sz w:val="2"/>
                <w:szCs w:val="2"/>
                <w:color w:val="auto"/>
              </w:rPr>
            </w:pPr>
          </w:p>
        </w:tc>
        <w:tc>
          <w:tcPr>
            <w:tcW w:w="9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top w:val="single" w:sz="8" w:color="auto"/>
            </w:tcBorders>
          </w:tcPr>
          <w:p>
            <w:pPr>
              <w:spacing w:after="0"/>
              <w:rPr>
                <w:sz w:val="2"/>
                <w:szCs w:val="2"/>
                <w:color w:val="auto"/>
              </w:rPr>
            </w:pPr>
          </w:p>
        </w:tc>
        <w:tc>
          <w:tcPr>
            <w:tcW w:w="900" w:type="dxa"/>
            <w:vAlign w:val="bottom"/>
            <w:tcBorders>
              <w:top w:val="single" w:sz="8" w:color="auto"/>
            </w:tcBorders>
          </w:tcPr>
          <w:p>
            <w:pPr>
              <w:spacing w:after="0"/>
              <w:rPr>
                <w:sz w:val="2"/>
                <w:szCs w:val="2"/>
                <w:color w:val="auto"/>
              </w:rPr>
            </w:pPr>
          </w:p>
        </w:tc>
      </w:tr>
      <w:tr>
        <w:trPr>
          <w:trHeight w:val="229"/>
        </w:trPr>
        <w:tc>
          <w:tcPr>
            <w:tcW w:w="5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Numerator </w:t>
            </w:r>
            <w:r>
              <w:rPr>
                <w:rFonts w:ascii="Times New Roman" w:cs="Times New Roman" w:eastAsia="Times New Roman" w:hAnsi="Times New Roman"/>
                <w:sz w:val="18"/>
                <w:szCs w:val="18"/>
                <w:color w:val="auto"/>
              </w:rPr>
              <w:t>(for basic and diluted earnings per share)</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30"/>
        </w:trPr>
        <w:tc>
          <w:tcPr>
            <w:tcW w:w="59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Net income (loss)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(35,962)</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1,429</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(39,417)</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3,055</w:t>
            </w:r>
          </w:p>
        </w:tc>
      </w:tr>
      <w:tr>
        <w:trPr>
          <w:trHeight w:val="229"/>
        </w:trPr>
        <w:tc>
          <w:tcPr>
            <w:tcW w:w="59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Less preferred stock dividends</w:t>
            </w:r>
          </w:p>
        </w:tc>
        <w:tc>
          <w:tcPr>
            <w:tcW w:w="2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(15,722)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(14,432)</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(31,110)</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(28,809)</w:t>
            </w:r>
          </w:p>
        </w:tc>
      </w:tr>
      <w:tr>
        <w:trPr>
          <w:trHeight w:val="223"/>
        </w:trPr>
        <w:tc>
          <w:tcPr>
            <w:tcW w:w="5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Numerator for basic and diluted earnings per share</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(51,684)</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(13,003)</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(70,527)</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(25,754)</w:t>
            </w:r>
          </w:p>
        </w:tc>
      </w:tr>
      <w:tr>
        <w:trPr>
          <w:trHeight w:val="20"/>
        </w:trPr>
        <w:tc>
          <w:tcPr>
            <w:tcW w:w="58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196"/>
        </w:trPr>
        <w:tc>
          <w:tcPr>
            <w:tcW w:w="5940" w:type="dxa"/>
            <w:vAlign w:val="bottom"/>
            <w:gridSpan w:val="2"/>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Denominator</w:t>
            </w: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r>
      <w:tr>
        <w:trPr>
          <w:trHeight w:val="230"/>
        </w:trPr>
        <w:tc>
          <w:tcPr>
            <w:tcW w:w="5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Basic weighted-average shares outstanding</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87,925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85,673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87,420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85,282</w:t>
            </w:r>
          </w:p>
        </w:tc>
      </w:tr>
      <w:tr>
        <w:trPr>
          <w:trHeight w:val="230"/>
        </w:trPr>
        <w:tc>
          <w:tcPr>
            <w:tcW w:w="5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 of dilutive securities</w:t>
            </w:r>
          </w:p>
        </w:tc>
        <w:tc>
          <w:tcPr>
            <w:tcW w:w="2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5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Diluted weighted-average shares outstanding</w:t>
            </w:r>
          </w:p>
        </w:tc>
        <w:tc>
          <w:tcPr>
            <w:tcW w:w="2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87,925</w:t>
            </w:r>
          </w:p>
        </w:tc>
        <w:tc>
          <w:tcPr>
            <w:tcW w:w="100" w:type="dxa"/>
            <w:vAlign w:val="bottom"/>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85,673</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87,420</w:t>
            </w:r>
          </w:p>
        </w:tc>
        <w:tc>
          <w:tcPr>
            <w:tcW w:w="100" w:type="dxa"/>
            <w:vAlign w:val="bottom"/>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85,282</w:t>
            </w:r>
          </w:p>
        </w:tc>
      </w:tr>
      <w:tr>
        <w:trPr>
          <w:trHeight w:val="20"/>
        </w:trPr>
        <w:tc>
          <w:tcPr>
            <w:tcW w:w="5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ind w:right="140" w:firstLine="405"/>
        <w:spacing w:after="0" w:line="261" w:lineRule="auto"/>
        <w:rPr>
          <w:sz w:val="20"/>
          <w:szCs w:val="20"/>
          <w:color w:val="auto"/>
        </w:rPr>
      </w:pPr>
      <w:r>
        <w:rPr>
          <w:rFonts w:ascii="Times New Roman" w:cs="Times New Roman" w:eastAsia="Times New Roman" w:hAnsi="Times New Roman"/>
          <w:sz w:val="18"/>
          <w:szCs w:val="18"/>
          <w:color w:val="auto"/>
        </w:rPr>
        <w:t>The dilutive effects of performance-based stock awards are included in the computation of diluted earnings per share to the extent the related performance criteria are met through the respective balance sheet reporting date. As of June 30, 2025, potential dilutive securities representing 7.9 million shares were excluded from the computation of diluted earnings per share as the related performance criteria were not yet met, although the Company expects to meet various levels of criteria in the future.</w:t>
      </w:r>
    </w:p>
    <w:p>
      <w:pPr>
        <w:spacing w:after="0" w:line="207" w:lineRule="exact"/>
        <w:rPr>
          <w:sz w:val="20"/>
          <w:szCs w:val="20"/>
          <w:color w:val="auto"/>
        </w:rPr>
      </w:pPr>
    </w:p>
    <w:p>
      <w:pPr>
        <w:ind w:right="120" w:firstLine="405"/>
        <w:spacing w:after="0" w:line="261" w:lineRule="auto"/>
        <w:rPr>
          <w:sz w:val="20"/>
          <w:szCs w:val="20"/>
          <w:color w:val="auto"/>
        </w:rPr>
      </w:pPr>
      <w:r>
        <w:rPr>
          <w:rFonts w:ascii="Times New Roman" w:cs="Times New Roman" w:eastAsia="Times New Roman" w:hAnsi="Times New Roman"/>
          <w:sz w:val="18"/>
          <w:szCs w:val="18"/>
          <w:color w:val="auto"/>
        </w:rPr>
        <w:t>For the three and six month periods ended June 30, 2025 and 2024, we incurred a net loss to shareholders and the inclusion of RSUs would be anti-dilutive. The June 30, 2025 and 2024 diluted EPS calculations exclude the effect from 10.8 million and 4.0 million, respectively, of outstanding RSUs that were anti-dilutive. The June 30, 2025 and 2024 basic and dilutive EPS calculations also exclude the impact of the common stock warrant as the effect would be anti-dilutive.</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color w:val="auto"/>
        </w:rPr>
        <w:t>2. Recently Adopted and Issued Accounting Standards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Standards</w:t>
      </w:r>
    </w:p>
    <w:p>
      <w:pPr>
        <w:spacing w:after="0" w:line="256" w:lineRule="exact"/>
        <w:rPr>
          <w:sz w:val="20"/>
          <w:szCs w:val="20"/>
          <w:color w:val="auto"/>
        </w:rPr>
      </w:pPr>
    </w:p>
    <w:p>
      <w:pPr>
        <w:ind w:right="60" w:firstLine="405"/>
        <w:spacing w:after="0" w:line="253" w:lineRule="auto"/>
        <w:rPr>
          <w:sz w:val="20"/>
          <w:szCs w:val="20"/>
          <w:color w:val="auto"/>
        </w:rPr>
      </w:pPr>
      <w:r>
        <w:rPr>
          <w:rFonts w:ascii="Times New Roman" w:cs="Times New Roman" w:eastAsia="Times New Roman" w:hAnsi="Times New Roman"/>
          <w:sz w:val="18"/>
          <w:szCs w:val="18"/>
          <w:color w:val="auto"/>
        </w:rPr>
        <w:t>In November 2024, the Financial Accounting Standards Board ("FASB") issued new guidance on disaggregation of income statement expenses. The guidance requires entities to disaggregate any relevant expense caption presented on the face of the income statement within continuing operations into the following required natural expense categories: (1) purchases of inventory, (2) employee compensation, (3) depreciation, (4) intangible asset amortization, and (5) depreciation, depletion and amortization recognized as part of oil-and gas-producing activities or other types of depletion expenses. Such disclosures must be made on an annual and interim basis in a tabular format in the footnotes to the financial statements. The guidance does not change the expense captions an entity presents on the face of the income statement. The guidance also provides clarification regarding identifying relevant expense captions. Furthermore, certain other expenses and gains or losses that must be disclosed under existing U.S. GAAP, and that are recorded in a relevant expense caption, must be presented in the same tabular disclosure on an annual, and, when applicable, interim basis. In addition, the guidance requires entities to disclose selling expenses on an annual and interim basis. The guidance does not define selling expenses, rather, entities will make their own determination of the composition of selling expenses and disclose the definition on an annual basis. The guidance is effective for our annual periods beginning in 2027 and interim periods beginning in the first quarter of 2028, with early adoption permitted. The guidance will be applied on a prospective basis, but retrospective application is permitted. We are currently evaluating the potential impact of adopting this new guidance on our disclosures.</w:t>
      </w:r>
    </w:p>
    <w:p>
      <w:pPr>
        <w:spacing w:after="0" w:line="217" w:lineRule="exact"/>
        <w:rPr>
          <w:sz w:val="20"/>
          <w:szCs w:val="20"/>
          <w:color w:val="auto"/>
        </w:rPr>
      </w:pPr>
    </w:p>
    <w:p>
      <w:pPr>
        <w:ind w:firstLine="405"/>
        <w:spacing w:after="0" w:line="256" w:lineRule="auto"/>
        <w:rPr>
          <w:sz w:val="20"/>
          <w:szCs w:val="20"/>
          <w:color w:val="auto"/>
        </w:rPr>
      </w:pPr>
      <w:r>
        <w:rPr>
          <w:rFonts w:ascii="Times New Roman" w:cs="Times New Roman" w:eastAsia="Times New Roman" w:hAnsi="Times New Roman"/>
          <w:sz w:val="18"/>
          <w:szCs w:val="18"/>
          <w:color w:val="auto"/>
        </w:rPr>
        <w:t>In December 2023, the FASB issued new guidance that modifies the rules on income tax disclosures. The guidance requires entities to disclose: (1) specific categories in the rate reconciliation, (2) the income or loss from continuing operations before income tax expense or benefit (separated between domestic and foreign) and (3) income tax expense or benefit from continuing operations (separated by federal, state and foreign). The guidance also requires entities to disclose their income tax payments to international, federal, state and local jurisdictions, among other changes. The guidance is effective for our annual periods beginning in 2025, with early adoption permitted. The guidance will be applied on a prospective basis, but retrospective application is permitted. We are currently assessing the impact of this new guidance on our income tax disclosures.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Standards</w:t>
      </w:r>
    </w:p>
    <w:p>
      <w:pPr>
        <w:spacing w:after="0" w:line="256" w:lineRule="exact"/>
        <w:rPr>
          <w:sz w:val="20"/>
          <w:szCs w:val="20"/>
          <w:color w:val="auto"/>
        </w:rPr>
      </w:pPr>
    </w:p>
    <w:p>
      <w:pPr>
        <w:ind w:right="80" w:firstLine="405"/>
        <w:spacing w:after="0" w:line="258" w:lineRule="auto"/>
        <w:rPr>
          <w:sz w:val="20"/>
          <w:szCs w:val="20"/>
          <w:color w:val="auto"/>
        </w:rPr>
      </w:pPr>
      <w:r>
        <w:rPr>
          <w:rFonts w:ascii="Times New Roman" w:cs="Times New Roman" w:eastAsia="Times New Roman" w:hAnsi="Times New Roman"/>
          <w:sz w:val="18"/>
          <w:szCs w:val="18"/>
          <w:color w:val="auto"/>
        </w:rPr>
        <w:t>In November 2023, the FASB issued new guidance which expands annual and interim disclosure requirements for reportable segments, primarily through enhanced disclosures about significant segment expenses. We adopted this guidance starting with our annual period beginning in fiscal year 2024 and adopted for interim periods beginning in the first quarter of 2025. The guidance is applied retrospectively to all prior periods presented in the financial statements. Upon transition, the segment expense categories and amounts disclosed in the prior periods are based on the significant segment expense categories identified and disclosed in the period of adoption. Refer to Note 11. Segment Information for the enhanced disclosures.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Restructuring Costs and Other Transactions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Restructuring and Reorganization</w:t>
      </w:r>
    </w:p>
    <w:p>
      <w:pPr>
        <w:spacing w:after="0" w:line="256" w:lineRule="exact"/>
        <w:rPr>
          <w:sz w:val="20"/>
          <w:szCs w:val="20"/>
          <w:color w:val="auto"/>
        </w:rPr>
      </w:pPr>
    </w:p>
    <w:p>
      <w:pPr>
        <w:ind w:right="160" w:firstLine="405"/>
        <w:spacing w:after="0" w:line="256" w:lineRule="auto"/>
        <w:rPr>
          <w:sz w:val="20"/>
          <w:szCs w:val="20"/>
          <w:color w:val="auto"/>
        </w:rPr>
      </w:pPr>
      <w:r>
        <w:rPr>
          <w:rFonts w:ascii="Times New Roman" w:cs="Times New Roman" w:eastAsia="Times New Roman" w:hAnsi="Times New Roman"/>
          <w:sz w:val="18"/>
          <w:szCs w:val="18"/>
          <w:color w:val="auto"/>
        </w:rPr>
        <w:t>In January 2023, we announced a strategic restructuring and reorganization of the Company to further leverage our strong position in the U.S. television ecosystem and propel our growth across new distribution platforms and emerging media marketplaces. The strategic reorganization, which was substantially completed by the end of the 2024 second quarter, created a leaner and more agile operating structure through the centralization of certain services and the consolidation of layers of management across our operating businesses and corporate office. We have continued to identify efficiency opportunities within the functional departments of our organization, which has resulted in additional restructuring charges since the end of 2024 second quarter.</w:t>
      </w:r>
    </w:p>
    <w:p>
      <w:pPr>
        <w:spacing w:after="0" w:line="214" w:lineRule="exact"/>
        <w:rPr>
          <w:sz w:val="20"/>
          <w:szCs w:val="20"/>
          <w:color w:val="auto"/>
        </w:rPr>
      </w:pPr>
    </w:p>
    <w:p>
      <w:pPr>
        <w:ind w:firstLine="405"/>
        <w:spacing w:after="0" w:line="266" w:lineRule="auto"/>
        <w:rPr>
          <w:sz w:val="20"/>
          <w:szCs w:val="20"/>
          <w:color w:val="auto"/>
        </w:rPr>
      </w:pPr>
      <w:r>
        <w:rPr>
          <w:rFonts w:ascii="Times New Roman" w:cs="Times New Roman" w:eastAsia="Times New Roman" w:hAnsi="Times New Roman"/>
          <w:sz w:val="18"/>
          <w:szCs w:val="18"/>
          <w:color w:val="auto"/>
        </w:rPr>
        <w:t>On September 27, 2024, we announced plans to significantly reduce Scripps News' national network programming beginning in the fourth quarter of 2024. As of November 15, 2024, Scripps News was no longer broadcast over the air, although it remained on streaming and digital platforms with weekday live coverage from the field. These restructuring activities resulted in the elimination of more than 200 jobs during 2024.</w:t>
      </w:r>
    </w:p>
    <w:p>
      <w:pPr>
        <w:spacing w:after="0" w:line="203" w:lineRule="exact"/>
        <w:rPr>
          <w:sz w:val="20"/>
          <w:szCs w:val="20"/>
          <w:color w:val="auto"/>
        </w:rPr>
      </w:pPr>
    </w:p>
    <w:p>
      <w:pPr>
        <w:ind w:right="40" w:firstLine="405"/>
        <w:spacing w:after="0" w:line="261" w:lineRule="auto"/>
        <w:rPr>
          <w:sz w:val="20"/>
          <w:szCs w:val="20"/>
          <w:color w:val="auto"/>
        </w:rPr>
      </w:pPr>
      <w:r>
        <w:rPr>
          <w:rFonts w:ascii="Times New Roman" w:cs="Times New Roman" w:eastAsia="Times New Roman" w:hAnsi="Times New Roman"/>
          <w:sz w:val="18"/>
          <w:szCs w:val="18"/>
          <w:color w:val="auto"/>
        </w:rPr>
        <w:t>Restructuring costs in the second quarter of 2025 and 2024 totaled $0.6 million and $1.0 million, respectively. Year-to-date restructuring costs totaled $4.8 million and $6.0 million in 2025 and 2024, respectively. Restructuring costs in 2025 included severance charges of $2.6 million and operating lease exit costs of $2.1 million. Restructuring costs in 2024 included severance charges and outside consulting fees associated with the strategic reorganization efforts.</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87" w:right="35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184"/>
        </w:trPr>
        <w:tc>
          <w:tcPr>
            <w:tcW w:w="55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Six Months Ended</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760" w:type="dxa"/>
            <w:vAlign w:val="bottom"/>
            <w:gridSpan w:val="3"/>
            <w:vMerge w:val="restart"/>
          </w:tcPr>
          <w:p>
            <w:pPr>
              <w:jc w:val="center"/>
              <w:ind w:right="280"/>
              <w:spacing w:after="0"/>
              <w:rPr>
                <w:sz w:val="20"/>
                <w:szCs w:val="20"/>
                <w:color w:val="auto"/>
              </w:rPr>
            </w:pPr>
            <w:r>
              <w:rPr>
                <w:rFonts w:ascii="Times New Roman" w:cs="Times New Roman" w:eastAsia="Times New Roman" w:hAnsi="Times New Roman"/>
                <w:sz w:val="18"/>
                <w:szCs w:val="18"/>
                <w:color w:val="auto"/>
                <w:w w:val="99"/>
              </w:rPr>
              <w:t>Severance and</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78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8"/>
                <w:szCs w:val="18"/>
                <w:color w:val="auto"/>
              </w:rPr>
              <w:t>Other Restructuring</w:t>
            </w:r>
          </w:p>
        </w:tc>
        <w:tc>
          <w:tcPr>
            <w:tcW w:w="4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0"/>
        </w:trPr>
        <w:tc>
          <w:tcPr>
            <w:tcW w:w="5520" w:type="dxa"/>
            <w:vAlign w:val="bottom"/>
            <w:gridSpan w:val="2"/>
          </w:tcPr>
          <w:p>
            <w:pPr>
              <w:ind w:left="20"/>
              <w:spacing w:after="0" w:line="150" w:lineRule="exact"/>
              <w:rPr>
                <w:sz w:val="20"/>
                <w:szCs w:val="20"/>
                <w:color w:val="auto"/>
              </w:rPr>
            </w:pPr>
            <w:r>
              <w:rPr>
                <w:rFonts w:ascii="Times New Roman" w:cs="Times New Roman" w:eastAsia="Times New Roman" w:hAnsi="Times New Roman"/>
                <w:sz w:val="16"/>
                <w:szCs w:val="16"/>
                <w:color w:val="auto"/>
              </w:rPr>
              <w:t>June 30, 2025 and 2024</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760" w:type="dxa"/>
            <w:vAlign w:val="bottom"/>
            <w:gridSpan w:val="3"/>
            <w:vMerge w:val="continue"/>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780" w:type="dxa"/>
            <w:vAlign w:val="bottom"/>
            <w:gridSpan w:val="2"/>
            <w:vMerge w:val="continue"/>
          </w:tcPr>
          <w:p>
            <w:pPr>
              <w:spacing w:after="0"/>
              <w:rPr>
                <w:sz w:val="13"/>
                <w:szCs w:val="13"/>
                <w:color w:val="auto"/>
              </w:rPr>
            </w:pPr>
          </w:p>
        </w:tc>
        <w:tc>
          <w:tcPr>
            <w:tcW w:w="420" w:type="dxa"/>
            <w:vAlign w:val="bottom"/>
          </w:tcPr>
          <w:p>
            <w:pPr>
              <w:spacing w:after="0"/>
              <w:rPr>
                <w:sz w:val="13"/>
                <w:szCs w:val="13"/>
                <w:color w:val="auto"/>
              </w:rPr>
            </w:pPr>
          </w:p>
        </w:tc>
        <w:tc>
          <w:tcPr>
            <w:tcW w:w="1420" w:type="dxa"/>
            <w:vAlign w:val="bottom"/>
            <w:vMerge w:val="restart"/>
          </w:tcPr>
          <w:p>
            <w:pPr>
              <w:jc w:val="right"/>
              <w:ind w:right="650"/>
              <w:spacing w:after="0"/>
              <w:rPr>
                <w:sz w:val="20"/>
                <w:szCs w:val="20"/>
                <w:color w:val="auto"/>
              </w:rPr>
            </w:pPr>
            <w:r>
              <w:rPr>
                <w:rFonts w:ascii="Times New Roman" w:cs="Times New Roman" w:eastAsia="Times New Roman" w:hAnsi="Times New Roman"/>
                <w:sz w:val="18"/>
                <w:szCs w:val="18"/>
                <w:color w:val="auto"/>
              </w:rPr>
              <w:t>Total</w:t>
            </w:r>
          </w:p>
        </w:tc>
        <w:tc>
          <w:tcPr>
            <w:tcW w:w="0" w:type="dxa"/>
            <w:vAlign w:val="bottom"/>
          </w:tcPr>
          <w:p>
            <w:pPr>
              <w:spacing w:after="0"/>
              <w:rPr>
                <w:sz w:val="1"/>
                <w:szCs w:val="1"/>
                <w:color w:val="auto"/>
              </w:rPr>
            </w:pPr>
          </w:p>
        </w:tc>
      </w:tr>
      <w:tr>
        <w:trPr>
          <w:trHeight w:val="228"/>
        </w:trPr>
        <w:tc>
          <w:tcPr>
            <w:tcW w:w="5520" w:type="dxa"/>
            <w:vAlign w:val="bottom"/>
            <w:gridSpan w:val="2"/>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60" w:type="dxa"/>
            <w:vAlign w:val="bottom"/>
            <w:gridSpan w:val="3"/>
          </w:tcPr>
          <w:p>
            <w:pPr>
              <w:jc w:val="center"/>
              <w:ind w:right="300"/>
              <w:spacing w:after="0"/>
              <w:rPr>
                <w:sz w:val="20"/>
                <w:szCs w:val="20"/>
                <w:color w:val="auto"/>
              </w:rPr>
            </w:pPr>
            <w:r>
              <w:rPr>
                <w:rFonts w:ascii="Times New Roman" w:cs="Times New Roman" w:eastAsia="Times New Roman" w:hAnsi="Times New Roman"/>
                <w:sz w:val="18"/>
                <w:szCs w:val="18"/>
                <w:color w:val="auto"/>
              </w:rPr>
              <w:t>Employee Benefits</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Charges</w:t>
            </w:r>
          </w:p>
        </w:tc>
        <w:tc>
          <w:tcPr>
            <w:tcW w:w="420" w:type="dxa"/>
            <w:vAlign w:val="bottom"/>
          </w:tcPr>
          <w:p>
            <w:pPr>
              <w:spacing w:after="0"/>
              <w:rPr>
                <w:sz w:val="19"/>
                <w:szCs w:val="19"/>
                <w:color w:val="auto"/>
              </w:rPr>
            </w:pPr>
          </w:p>
        </w:tc>
        <w:tc>
          <w:tcPr>
            <w:tcW w:w="14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542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1660" w:type="dxa"/>
            <w:vAlign w:val="bottom"/>
            <w:tcBorders>
              <w:top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16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top w:val="single" w:sz="8" w:color="auto"/>
            </w:tcBorders>
          </w:tcPr>
          <w:p>
            <w:pPr>
              <w:spacing w:after="0"/>
              <w:rPr>
                <w:sz w:val="2"/>
                <w:szCs w:val="2"/>
                <w:color w:val="auto"/>
              </w:rPr>
            </w:pPr>
          </w:p>
        </w:tc>
        <w:tc>
          <w:tcPr>
            <w:tcW w:w="1420" w:type="dxa"/>
            <w:vAlign w:val="bottom"/>
            <w:tcBorders>
              <w:top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5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Liability as of December 31, 2024</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9,653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9,653</w:t>
            </w:r>
          </w:p>
        </w:tc>
        <w:tc>
          <w:tcPr>
            <w:tcW w:w="0" w:type="dxa"/>
            <w:vAlign w:val="bottom"/>
          </w:tcPr>
          <w:p>
            <w:pPr>
              <w:spacing w:after="0"/>
              <w:rPr>
                <w:sz w:val="1"/>
                <w:szCs w:val="1"/>
                <w:color w:val="auto"/>
              </w:rPr>
            </w:pPr>
          </w:p>
        </w:tc>
      </w:tr>
      <w:tr>
        <w:trPr>
          <w:trHeight w:val="230"/>
        </w:trPr>
        <w:tc>
          <w:tcPr>
            <w:tcW w:w="55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Net charges</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2,139</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4,757</w:t>
            </w:r>
          </w:p>
        </w:tc>
        <w:tc>
          <w:tcPr>
            <w:tcW w:w="0" w:type="dxa"/>
            <w:vAlign w:val="bottom"/>
          </w:tcPr>
          <w:p>
            <w:pPr>
              <w:spacing w:after="0"/>
              <w:rPr>
                <w:sz w:val="1"/>
                <w:szCs w:val="1"/>
                <w:color w:val="auto"/>
              </w:rPr>
            </w:pPr>
          </w:p>
        </w:tc>
      </w:tr>
      <w:tr>
        <w:trPr>
          <w:trHeight w:val="229"/>
        </w:trPr>
        <w:tc>
          <w:tcPr>
            <w:tcW w:w="55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Payments</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(12,271)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(12,451)</w:t>
            </w:r>
          </w:p>
        </w:tc>
        <w:tc>
          <w:tcPr>
            <w:tcW w:w="0" w:type="dxa"/>
            <w:vAlign w:val="bottom"/>
          </w:tcPr>
          <w:p>
            <w:pPr>
              <w:spacing w:after="0"/>
              <w:rPr>
                <w:sz w:val="1"/>
                <w:szCs w:val="1"/>
                <w:color w:val="auto"/>
              </w:rPr>
            </w:pPr>
          </w:p>
        </w:tc>
      </w:tr>
      <w:tr>
        <w:trPr>
          <w:trHeight w:val="230"/>
        </w:trPr>
        <w:tc>
          <w:tcPr>
            <w:tcW w:w="5520" w:type="dxa"/>
            <w:vAlign w:val="bottom"/>
            <w:gridSpan w:val="2"/>
          </w:tcPr>
          <w:p>
            <w:pPr>
              <w:ind w:left="160"/>
              <w:spacing w:after="0" w:line="230" w:lineRule="exact"/>
              <w:rPr>
                <w:sz w:val="20"/>
                <w:szCs w:val="20"/>
                <w:color w:val="auto"/>
              </w:rPr>
            </w:pPr>
            <w:r>
              <w:rPr>
                <w:rFonts w:ascii="Times New Roman" w:cs="Times New Roman" w:eastAsia="Times New Roman" w:hAnsi="Times New Roman"/>
                <w:sz w:val="18"/>
                <w:szCs w:val="18"/>
                <w:color w:val="auto"/>
              </w:rPr>
              <w:t xml:space="preserve">Non-cash </w:t>
            </w:r>
            <w:r>
              <w:rPr>
                <w:rFonts w:ascii="Times New Roman" w:cs="Times New Roman" w:eastAsia="Times New Roman" w:hAnsi="Times New Roman"/>
                <w:sz w:val="23"/>
                <w:szCs w:val="23"/>
                <w:color w:val="auto"/>
                <w:vertAlign w:val="superscript"/>
              </w:rPr>
              <w:t>(a)</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6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(1,397)</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(1,397)</w:t>
            </w:r>
          </w:p>
        </w:tc>
        <w:tc>
          <w:tcPr>
            <w:tcW w:w="0" w:type="dxa"/>
            <w:vAlign w:val="bottom"/>
          </w:tcPr>
          <w:p>
            <w:pPr>
              <w:spacing w:after="0"/>
              <w:rPr>
                <w:sz w:val="1"/>
                <w:szCs w:val="1"/>
                <w:color w:val="auto"/>
              </w:rPr>
            </w:pPr>
          </w:p>
        </w:tc>
      </w:tr>
      <w:tr>
        <w:trPr>
          <w:trHeight w:val="248"/>
        </w:trPr>
        <w:tc>
          <w:tcPr>
            <w:tcW w:w="552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Liability as of June 30, 2025</w:t>
            </w:r>
          </w:p>
        </w:tc>
        <w:tc>
          <w:tcPr>
            <w:tcW w:w="1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20" w:type="dxa"/>
            <w:vAlign w:val="bottom"/>
            <w:tcBorders>
              <w:top w:val="single" w:sz="8" w:color="auto"/>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w:t>
            </w:r>
          </w:p>
        </w:tc>
        <w:tc>
          <w:tcPr>
            <w:tcW w:w="0" w:type="dxa"/>
            <w:vAlign w:val="bottom"/>
          </w:tcPr>
          <w:p>
            <w:pPr>
              <w:spacing w:after="0"/>
              <w:rPr>
                <w:sz w:val="1"/>
                <w:szCs w:val="1"/>
                <w:color w:val="auto"/>
              </w:rPr>
            </w:pPr>
          </w:p>
        </w:tc>
      </w:tr>
      <w:tr>
        <w:trPr>
          <w:trHeight w:val="20"/>
        </w:trPr>
        <w:tc>
          <w:tcPr>
            <w:tcW w:w="54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8"/>
        </w:trPr>
        <w:tc>
          <w:tcPr>
            <w:tcW w:w="5520" w:type="dxa"/>
            <w:vAlign w:val="bottom"/>
            <w:gridSpan w:val="2"/>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Liability as of December 31, 2023</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6,735</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8,165</w:t>
            </w:r>
          </w:p>
        </w:tc>
        <w:tc>
          <w:tcPr>
            <w:tcW w:w="0" w:type="dxa"/>
            <w:vAlign w:val="bottom"/>
          </w:tcPr>
          <w:p>
            <w:pPr>
              <w:spacing w:after="0"/>
              <w:rPr>
                <w:sz w:val="1"/>
                <w:szCs w:val="1"/>
                <w:color w:val="auto"/>
              </w:rPr>
            </w:pPr>
          </w:p>
        </w:tc>
      </w:tr>
      <w:tr>
        <w:trPr>
          <w:trHeight w:val="229"/>
        </w:trPr>
        <w:tc>
          <w:tcPr>
            <w:tcW w:w="55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Net charges</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4,892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1,096</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5,988</w:t>
            </w:r>
          </w:p>
        </w:tc>
        <w:tc>
          <w:tcPr>
            <w:tcW w:w="0" w:type="dxa"/>
            <w:vAlign w:val="bottom"/>
          </w:tcPr>
          <w:p>
            <w:pPr>
              <w:spacing w:after="0"/>
              <w:rPr>
                <w:sz w:val="1"/>
                <w:szCs w:val="1"/>
                <w:color w:val="auto"/>
              </w:rPr>
            </w:pPr>
          </w:p>
        </w:tc>
      </w:tr>
      <w:tr>
        <w:trPr>
          <w:trHeight w:val="229"/>
        </w:trPr>
        <w:tc>
          <w:tcPr>
            <w:tcW w:w="55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Payments</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(10,890)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(1,074)</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(11,964)</w:t>
            </w:r>
          </w:p>
        </w:tc>
        <w:tc>
          <w:tcPr>
            <w:tcW w:w="0" w:type="dxa"/>
            <w:vAlign w:val="bottom"/>
          </w:tcPr>
          <w:p>
            <w:pPr>
              <w:spacing w:after="0"/>
              <w:rPr>
                <w:sz w:val="1"/>
                <w:szCs w:val="1"/>
                <w:color w:val="auto"/>
              </w:rPr>
            </w:pPr>
          </w:p>
        </w:tc>
      </w:tr>
      <w:tr>
        <w:trPr>
          <w:trHeight w:val="230"/>
        </w:trPr>
        <w:tc>
          <w:tcPr>
            <w:tcW w:w="5520" w:type="dxa"/>
            <w:vAlign w:val="bottom"/>
            <w:gridSpan w:val="2"/>
          </w:tcPr>
          <w:p>
            <w:pPr>
              <w:ind w:left="160"/>
              <w:spacing w:after="0" w:line="230" w:lineRule="exact"/>
              <w:rPr>
                <w:sz w:val="20"/>
                <w:szCs w:val="20"/>
                <w:color w:val="auto"/>
              </w:rPr>
            </w:pPr>
            <w:r>
              <w:rPr>
                <w:rFonts w:ascii="Times New Roman" w:cs="Times New Roman" w:eastAsia="Times New Roman" w:hAnsi="Times New Roman"/>
                <w:sz w:val="18"/>
                <w:szCs w:val="18"/>
                <w:color w:val="auto"/>
              </w:rPr>
              <w:t xml:space="preserve">Non-cash </w:t>
            </w:r>
            <w:r>
              <w:rPr>
                <w:rFonts w:ascii="Times New Roman" w:cs="Times New Roman" w:eastAsia="Times New Roman" w:hAnsi="Times New Roman"/>
                <w:sz w:val="23"/>
                <w:szCs w:val="23"/>
                <w:color w:val="auto"/>
                <w:vertAlign w:val="superscript"/>
              </w:rPr>
              <w:t>(a)</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552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Liability as of June 30, 2024</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737</w:t>
            </w: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20" w:type="dxa"/>
            <w:vAlign w:val="bottom"/>
            <w:tcBorders>
              <w:top w:val="single" w:sz="8" w:color="auto"/>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2,189</w:t>
            </w:r>
          </w:p>
        </w:tc>
        <w:tc>
          <w:tcPr>
            <w:tcW w:w="0" w:type="dxa"/>
            <w:vAlign w:val="bottom"/>
          </w:tcPr>
          <w:p>
            <w:pPr>
              <w:spacing w:after="0"/>
              <w:rPr>
                <w:sz w:val="1"/>
                <w:szCs w:val="1"/>
                <w:color w:val="auto"/>
              </w:rPr>
            </w:pPr>
          </w:p>
        </w:tc>
      </w:tr>
      <w:tr>
        <w:trPr>
          <w:trHeight w:val="20"/>
        </w:trPr>
        <w:tc>
          <w:tcPr>
            <w:tcW w:w="54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 w:lineRule="exact"/>
        <w:rPr>
          <w:sz w:val="20"/>
          <w:szCs w:val="20"/>
          <w:color w:val="auto"/>
        </w:rPr>
      </w:pPr>
    </w:p>
    <w:p>
      <w:pPr>
        <w:ind w:left="180" w:hanging="172"/>
        <w:spacing w:after="0"/>
        <w:tabs>
          <w:tab w:leader="none" w:pos="180" w:val="left"/>
        </w:tabs>
        <w:numPr>
          <w:ilvl w:val="0"/>
          <w:numId w:val="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Represents share-based compensation costs and asset write-downs included in restructuring charges.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Transactions</w:t>
      </w:r>
    </w:p>
    <w:p>
      <w:pPr>
        <w:spacing w:after="0" w:line="25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On April 30, 2025, we completed the sale of our West Palm Beach television station building to 110 Banyan LLC for cash consideration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$40.0 million and recognized a pre-tax gain from disposition of $31.4 million. With the asset sale, we also entered into a 2.5-year building lease with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buyer for cash consideration of $2.5 million annually.</w:t>
      </w:r>
    </w:p>
    <w:p>
      <w:pPr>
        <w:spacing w:after="0" w:line="234" w:lineRule="exact"/>
        <w:rPr>
          <w:sz w:val="20"/>
          <w:szCs w:val="20"/>
          <w:color w:val="auto"/>
        </w:rPr>
      </w:pPr>
    </w:p>
    <w:p>
      <w:pPr>
        <w:ind w:right="100" w:firstLine="405"/>
        <w:spacing w:after="0" w:line="266" w:lineRule="auto"/>
        <w:rPr>
          <w:sz w:val="20"/>
          <w:szCs w:val="20"/>
          <w:color w:val="auto"/>
        </w:rPr>
      </w:pPr>
      <w:r>
        <w:rPr>
          <w:rFonts w:ascii="Times New Roman" w:cs="Times New Roman" w:eastAsia="Times New Roman" w:hAnsi="Times New Roman"/>
          <w:sz w:val="18"/>
          <w:szCs w:val="18"/>
          <w:color w:val="auto"/>
        </w:rPr>
        <w:t>On February 9, 2024, following the completed sale of Broadcast Music, Inc. ("BMI") to New Mountain Capital, we received $18.1 million in pre-tax cash proceeds for our equity ownership in BMI. We did not have any carrying value associated with our BMI investment. This gain was included in Miscellaneous, net for the six months ended June 30, 2024.</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Pending Transactions</w:t>
      </w:r>
    </w:p>
    <w:p>
      <w:pPr>
        <w:spacing w:after="0" w:line="256" w:lineRule="exact"/>
        <w:rPr>
          <w:sz w:val="20"/>
          <w:szCs w:val="20"/>
          <w:color w:val="auto"/>
        </w:rPr>
      </w:pPr>
    </w:p>
    <w:p>
      <w:pPr>
        <w:ind w:right="60" w:firstLine="405"/>
        <w:spacing w:after="0" w:line="258" w:lineRule="auto"/>
        <w:rPr>
          <w:sz w:val="20"/>
          <w:szCs w:val="20"/>
          <w:color w:val="auto"/>
        </w:rPr>
      </w:pPr>
      <w:r>
        <w:rPr>
          <w:rFonts w:ascii="Times New Roman" w:cs="Times New Roman" w:eastAsia="Times New Roman" w:hAnsi="Times New Roman"/>
          <w:sz w:val="18"/>
          <w:szCs w:val="18"/>
          <w:color w:val="auto"/>
        </w:rPr>
        <w:t>On July 7, 2025, we entered into agreements with Gray Media, Inc. (“Gray”), to swap television stations across five markets. Upon completion of the transactions, we will acquire Gray’s KKTV (CBS) in Colorado Springs, Colorado; KKCO (NBC) and low power station KJCT-LP (ABC) in Grand Junction, Colorado; and KMVT (CBS) and low power station KSVT-LD (Fox) in Twin Falls, Idaho. Gray will be acquiring WSYM (Fox) in Lansing, Michigan, and KATC (ABC) in Lafayette, Louisiana. The swap involves the even exchange of comparable assets. As a result, neither company will pay cash consideration to the other. The transaction, pending regulatory and other approvals, is expected to close in the fourth quarter of 2025.</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Income Taxes</w:t>
      </w:r>
    </w:p>
    <w:p>
      <w:pPr>
        <w:spacing w:after="0" w:line="256" w:lineRule="exact"/>
        <w:rPr>
          <w:sz w:val="20"/>
          <w:szCs w:val="20"/>
          <w:color w:val="auto"/>
        </w:rPr>
      </w:pPr>
    </w:p>
    <w:p>
      <w:pPr>
        <w:ind w:right="180" w:firstLine="405"/>
        <w:spacing w:after="0" w:line="282" w:lineRule="auto"/>
        <w:rPr>
          <w:sz w:val="20"/>
          <w:szCs w:val="20"/>
          <w:color w:val="auto"/>
        </w:rPr>
      </w:pPr>
      <w:r>
        <w:rPr>
          <w:rFonts w:ascii="Times New Roman" w:cs="Times New Roman" w:eastAsia="Times New Roman" w:hAnsi="Times New Roman"/>
          <w:sz w:val="18"/>
          <w:szCs w:val="18"/>
          <w:color w:val="auto"/>
        </w:rPr>
        <w:t>We file a consolidated federal income tax return, consolidated unitary tax returns in certain states and other separate state income tax returns for our subsidiary companies.</w:t>
      </w:r>
    </w:p>
    <w:p>
      <w:pPr>
        <w:spacing w:after="0" w:line="189" w:lineRule="exact"/>
        <w:rPr>
          <w:sz w:val="20"/>
          <w:szCs w:val="20"/>
          <w:color w:val="auto"/>
        </w:rPr>
      </w:pPr>
    </w:p>
    <w:p>
      <w:pPr>
        <w:ind w:right="40" w:firstLine="405"/>
        <w:spacing w:after="0" w:line="255" w:lineRule="auto"/>
        <w:rPr>
          <w:sz w:val="20"/>
          <w:szCs w:val="20"/>
          <w:color w:val="auto"/>
        </w:rPr>
      </w:pPr>
      <w:r>
        <w:rPr>
          <w:rFonts w:ascii="Times New Roman" w:cs="Times New Roman" w:eastAsia="Times New Roman" w:hAnsi="Times New Roman"/>
          <w:sz w:val="18"/>
          <w:szCs w:val="18"/>
          <w:color w:val="auto"/>
        </w:rPr>
        <w:t>The income tax provision for interim periods is determined based upon the expected effective income tax rate for the full year and the tax rate applicable to certain discrete transactions in the interim period. To determine the annual effective income tax rate, we must estimate both the total income (loss) before income tax for the full year and the jurisdictions in which that income (loss) is subject to tax. The actual effective income tax rate for the full year may differ from these estimates if income (loss) before income tax is greater than or less than what was estimated or if the allocation of income (loss) to jurisdictions in which it is taxed is different from the estimated allocations. We review and adjust our estimated effective income tax rate for the full year each quarter based upon our most recent estimates of income (loss) before income tax for the full year and the jurisdictions in which we expect that income will be taxed.</w:t>
      </w:r>
    </w:p>
    <w:p>
      <w:pPr>
        <w:spacing w:after="0" w:line="216" w:lineRule="exact"/>
        <w:rPr>
          <w:sz w:val="20"/>
          <w:szCs w:val="20"/>
          <w:color w:val="auto"/>
        </w:rPr>
      </w:pPr>
    </w:p>
    <w:p>
      <w:pPr>
        <w:ind w:right="140" w:firstLine="405"/>
        <w:spacing w:after="0" w:line="258" w:lineRule="auto"/>
        <w:rPr>
          <w:sz w:val="20"/>
          <w:szCs w:val="20"/>
          <w:color w:val="auto"/>
        </w:rPr>
      </w:pPr>
      <w:r>
        <w:rPr>
          <w:rFonts w:ascii="Times New Roman" w:cs="Times New Roman" w:eastAsia="Times New Roman" w:hAnsi="Times New Roman"/>
          <w:sz w:val="18"/>
          <w:szCs w:val="18"/>
          <w:color w:val="auto"/>
        </w:rPr>
        <w:t>The effective income tax rate for the six months ended June 30, 2025 and 2024 was 5.2% and 65%, respectively. Differences between our effective income tax rate and the U.S. federal statutory rate are the impact of state taxes, foreign taxes, non-deductible expenses, changes in reserves for uncertain tax positions, excess tax benefits or expense from the exercise and vesting of share-based compensation awards ($2.1 million expense in 2025 and $3.8 million expense in 2024), state deferred rate changes ($1.4 million expense in 2025 and $0.7 million expense in 2024) and state NOL valuation allowance changes.</w:t>
      </w:r>
    </w:p>
    <w:p>
      <w:pPr>
        <w:sectPr>
          <w:pgSz w:w="11900" w:h="16838" w:orient="portrait"/>
          <w:cols w:equalWidth="0" w:num="1">
            <w:col w:w="11240"/>
          </w:cols>
          <w:pgMar w:left="320" w:top="91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14" w:right="339" w:bottom="1440" w:gutter="0" w:footer="0" w:header="0"/>
          <w:type w:val="continuous"/>
        </w:sectPr>
      </w:pPr>
    </w:p>
    <w:bookmarkStart w:id="16" w:name="page17"/>
    <w:bookmarkEnd w:id="16"/>
    <w:p>
      <w:pPr>
        <w:jc w:val="both"/>
        <w:ind w:right="60" w:firstLine="405"/>
        <w:spacing w:after="0" w:line="266" w:lineRule="auto"/>
        <w:rPr>
          <w:sz w:val="20"/>
          <w:szCs w:val="20"/>
          <w:color w:val="auto"/>
        </w:rPr>
      </w:pPr>
      <w:r>
        <w:rPr>
          <w:rFonts w:ascii="Times New Roman" w:cs="Times New Roman" w:eastAsia="Times New Roman" w:hAnsi="Times New Roman"/>
          <w:sz w:val="18"/>
          <w:szCs w:val="18"/>
          <w:color w:val="auto"/>
        </w:rPr>
        <w:t>We recognize state NOL carryforwards as deferred tax assets, subject to valuation allowances. At each balance sheet date, we estimate the amount of carryforwards that are not expected to be used prior to expiration of the carryforward period. The tax effect of the carryforwards that are not expected to be used prior to their expiration is included in the valuation allowance.</w:t>
      </w:r>
    </w:p>
    <w:p>
      <w:pPr>
        <w:spacing w:after="0" w:line="203" w:lineRule="exact"/>
        <w:rPr>
          <w:sz w:val="20"/>
          <w:szCs w:val="20"/>
          <w:color w:val="auto"/>
        </w:rPr>
      </w:pPr>
    </w:p>
    <w:p>
      <w:pPr>
        <w:ind w:right="160" w:firstLine="405"/>
        <w:spacing w:after="0" w:line="261" w:lineRule="auto"/>
        <w:rPr>
          <w:sz w:val="20"/>
          <w:szCs w:val="20"/>
          <w:color w:val="auto"/>
        </w:rPr>
      </w:pPr>
      <w:r>
        <w:rPr>
          <w:rFonts w:ascii="Times New Roman" w:cs="Times New Roman" w:eastAsia="Times New Roman" w:hAnsi="Times New Roman"/>
          <w:sz w:val="18"/>
          <w:szCs w:val="18"/>
          <w:color w:val="auto"/>
        </w:rPr>
        <w:t>On July 4, 2025, H.R. 1, commonly referred to as the One Big Beautiful Bill Act ("OBBBA"), was enacted into law. The OBBBA makes permanent key elements of the Tax Cuts and Jobs Act, including 100% bonus depreciation, domestic research cost expensing and the business interest expense limitation. The legislation has multiple effective dates, with certain provisions effective in 2025 and others implemented through 2027. We are currently evaluating the impact of the OBBBA on our consolidated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Leases</w:t>
      </w:r>
    </w:p>
    <w:p>
      <w:pPr>
        <w:spacing w:after="0" w:line="256" w:lineRule="exact"/>
        <w:rPr>
          <w:sz w:val="20"/>
          <w:szCs w:val="20"/>
          <w:color w:val="auto"/>
        </w:rPr>
      </w:pPr>
    </w:p>
    <w:p>
      <w:pPr>
        <w:ind w:right="40" w:firstLine="405"/>
        <w:spacing w:after="0" w:line="254" w:lineRule="auto"/>
        <w:rPr>
          <w:sz w:val="20"/>
          <w:szCs w:val="20"/>
          <w:color w:val="auto"/>
        </w:rPr>
      </w:pPr>
      <w:r>
        <w:rPr>
          <w:rFonts w:ascii="Times New Roman" w:cs="Times New Roman" w:eastAsia="Times New Roman" w:hAnsi="Times New Roman"/>
          <w:sz w:val="18"/>
          <w:szCs w:val="18"/>
          <w:color w:val="auto"/>
        </w:rPr>
        <w:t>We have operating leases for office space, data centers and certain equipment. We also have finance leases for office space. Our leases have lease terms of 1 year to 33 years, some of which may include options to extend the leases for up to 5 years, and some of which may include options to terminate the leases within 1 year. Operating lease costs recognized in our Condensed Consolidated Statements of Operations for the three months ended June 30, 2025 and 2024 totaled $6.0 million and $5.7 million, respectively, including short-term lease costs of $1.6 million and $1.7 million, respectively. Year-to-date June 30, 2025 and 2024 operating lease costs totaled $11.5 million and $11.8 million, respectively, including short-term lease costs of $3.4 million and $2.7 million, respectively. Amortization of the right-of-use asset for our finance leases totaled $0.2 million for both the three months ended June 30, 2025 and 2024 and $0.4 million for both the six months ended June 30, 2025 and 2024. Interest expense on the finance leases liability totaled $0.5 million for both the three months ended June 30, 2025 and 2024. Interest expense on the finance leases liability totaled $1.1 million for both the six months ended June 30, 2025 and 2024.</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84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Other information related to our leases was as follows:</w:t>
            </w:r>
          </w:p>
        </w:tc>
        <w:tc>
          <w:tcPr>
            <w:tcW w:w="3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202"/>
        </w:trPr>
        <w:tc>
          <w:tcPr>
            <w:tcW w:w="7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80" w:type="dxa"/>
            <w:vAlign w:val="bottom"/>
            <w:gridSpan w:val="2"/>
          </w:tcPr>
          <w:p>
            <w:pPr>
              <w:jc w:val="right"/>
              <w:ind w:right="780"/>
              <w:spacing w:after="0" w:line="202" w:lineRule="exact"/>
              <w:rPr>
                <w:sz w:val="20"/>
                <w:szCs w:val="20"/>
                <w:color w:val="auto"/>
              </w:rPr>
            </w:pPr>
            <w:r>
              <w:rPr>
                <w:rFonts w:ascii="Times New Roman" w:cs="Times New Roman" w:eastAsia="Times New Roman" w:hAnsi="Times New Roman"/>
                <w:sz w:val="18"/>
                <w:szCs w:val="18"/>
                <w:color w:val="auto"/>
              </w:rPr>
              <w:t>As of</w:t>
            </w:r>
          </w:p>
        </w:tc>
        <w:tc>
          <w:tcPr>
            <w:tcW w:w="200" w:type="dxa"/>
            <w:vAlign w:val="bottom"/>
          </w:tcPr>
          <w:p>
            <w:pPr>
              <w:spacing w:after="0"/>
              <w:rPr>
                <w:sz w:val="17"/>
                <w:szCs w:val="17"/>
                <w:color w:val="auto"/>
              </w:rPr>
            </w:pPr>
          </w:p>
        </w:tc>
        <w:tc>
          <w:tcPr>
            <w:tcW w:w="1400" w:type="dxa"/>
            <w:vAlign w:val="bottom"/>
          </w:tcPr>
          <w:p>
            <w:pPr>
              <w:jc w:val="right"/>
              <w:ind w:right="530"/>
              <w:spacing w:after="0" w:line="202" w:lineRule="exact"/>
              <w:rPr>
                <w:sz w:val="20"/>
                <w:szCs w:val="20"/>
                <w:color w:val="auto"/>
              </w:rPr>
            </w:pPr>
            <w:r>
              <w:rPr>
                <w:rFonts w:ascii="Times New Roman" w:cs="Times New Roman" w:eastAsia="Times New Roman" w:hAnsi="Times New Roman"/>
                <w:sz w:val="18"/>
                <w:szCs w:val="18"/>
                <w:color w:val="auto"/>
              </w:rPr>
              <w:t>As of</w:t>
            </w:r>
          </w:p>
        </w:tc>
      </w:tr>
      <w:tr>
        <w:trPr>
          <w:trHeight w:val="184"/>
        </w:trPr>
        <w:tc>
          <w:tcPr>
            <w:tcW w:w="7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80" w:type="dxa"/>
            <w:vAlign w:val="bottom"/>
            <w:gridSpan w:val="2"/>
          </w:tcPr>
          <w:p>
            <w:pPr>
              <w:ind w:left="200"/>
              <w:spacing w:after="0" w:line="184" w:lineRule="exact"/>
              <w:rPr>
                <w:sz w:val="20"/>
                <w:szCs w:val="20"/>
                <w:color w:val="auto"/>
              </w:rPr>
            </w:pPr>
            <w:r>
              <w:rPr>
                <w:rFonts w:ascii="Times New Roman" w:cs="Times New Roman" w:eastAsia="Times New Roman" w:hAnsi="Times New Roman"/>
                <w:sz w:val="18"/>
                <w:szCs w:val="18"/>
                <w:color w:val="auto"/>
              </w:rPr>
              <w:t>June 30,</w:t>
            </w:r>
          </w:p>
        </w:tc>
        <w:tc>
          <w:tcPr>
            <w:tcW w:w="200" w:type="dxa"/>
            <w:vAlign w:val="bottom"/>
          </w:tcPr>
          <w:p>
            <w:pPr>
              <w:spacing w:after="0"/>
              <w:rPr>
                <w:sz w:val="16"/>
                <w:szCs w:val="16"/>
                <w:color w:val="auto"/>
              </w:rPr>
            </w:pPr>
          </w:p>
        </w:tc>
        <w:tc>
          <w:tcPr>
            <w:tcW w:w="1400" w:type="dxa"/>
            <w:vAlign w:val="bottom"/>
          </w:tcPr>
          <w:p>
            <w:pPr>
              <w:jc w:val="right"/>
              <w:ind w:right="230"/>
              <w:spacing w:after="0" w:line="184" w:lineRule="exact"/>
              <w:rPr>
                <w:sz w:val="20"/>
                <w:szCs w:val="20"/>
                <w:color w:val="auto"/>
              </w:rPr>
            </w:pPr>
            <w:r>
              <w:rPr>
                <w:rFonts w:ascii="Times New Roman" w:cs="Times New Roman" w:eastAsia="Times New Roman" w:hAnsi="Times New Roman"/>
                <w:sz w:val="18"/>
                <w:szCs w:val="18"/>
                <w:color w:val="auto"/>
              </w:rPr>
              <w:t>December 31,</w:t>
            </w:r>
          </w:p>
        </w:tc>
      </w:tr>
      <w:tr>
        <w:trPr>
          <w:trHeight w:val="234"/>
        </w:trPr>
        <w:tc>
          <w:tcPr>
            <w:tcW w:w="7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 thousands, except lease term and discount rate)</w:t>
            </w:r>
          </w:p>
        </w:tc>
        <w:tc>
          <w:tcPr>
            <w:tcW w:w="320" w:type="dxa"/>
            <w:vAlign w:val="bottom"/>
          </w:tcPr>
          <w:p>
            <w:pPr>
              <w:spacing w:after="0"/>
              <w:rPr>
                <w:sz w:val="20"/>
                <w:szCs w:val="20"/>
                <w:color w:val="auto"/>
              </w:rPr>
            </w:pPr>
          </w:p>
        </w:tc>
        <w:tc>
          <w:tcPr>
            <w:tcW w:w="138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2024</w:t>
            </w:r>
          </w:p>
        </w:tc>
      </w:tr>
      <w:tr>
        <w:trPr>
          <w:trHeight w:val="34"/>
        </w:trPr>
        <w:tc>
          <w:tcPr>
            <w:tcW w:w="772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top w:val="single" w:sz="8" w:color="auto"/>
            </w:tcBorders>
          </w:tcPr>
          <w:p>
            <w:pPr>
              <w:spacing w:after="0"/>
              <w:rPr>
                <w:sz w:val="2"/>
                <w:szCs w:val="2"/>
                <w:color w:val="auto"/>
              </w:rPr>
            </w:pPr>
          </w:p>
        </w:tc>
        <w:tc>
          <w:tcPr>
            <w:tcW w:w="13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1400" w:type="dxa"/>
            <w:vAlign w:val="bottom"/>
            <w:tcBorders>
              <w:top w:val="single" w:sz="8" w:color="auto"/>
            </w:tcBorders>
          </w:tcPr>
          <w:p>
            <w:pPr>
              <w:spacing w:after="0"/>
              <w:rPr>
                <w:sz w:val="2"/>
                <w:szCs w:val="2"/>
                <w:color w:val="auto"/>
              </w:rPr>
            </w:pPr>
          </w:p>
        </w:tc>
      </w:tr>
      <w:tr>
        <w:trPr>
          <w:trHeight w:val="230"/>
        </w:trPr>
        <w:tc>
          <w:tcPr>
            <w:tcW w:w="7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Sheet Information</w:t>
            </w:r>
          </w:p>
        </w:tc>
        <w:tc>
          <w:tcPr>
            <w:tcW w:w="3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r>
      <w:tr>
        <w:trPr>
          <w:trHeight w:val="229"/>
        </w:trPr>
        <w:tc>
          <w:tcPr>
            <w:tcW w:w="7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Leases</w:t>
            </w:r>
          </w:p>
        </w:tc>
        <w:tc>
          <w:tcPr>
            <w:tcW w:w="3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230"/>
        </w:trPr>
        <w:tc>
          <w:tcPr>
            <w:tcW w:w="78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Right-of-use assets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88,298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90,136</w:t>
            </w:r>
          </w:p>
        </w:tc>
      </w:tr>
      <w:tr>
        <w:trPr>
          <w:trHeight w:val="230"/>
        </w:trPr>
        <w:tc>
          <w:tcPr>
            <w:tcW w:w="78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320" w:type="dxa"/>
            <w:vAlign w:val="bottom"/>
          </w:tcPr>
          <w:p>
            <w:pPr>
              <w:spacing w:after="0"/>
              <w:rPr>
                <w:sz w:val="19"/>
                <w:szCs w:val="19"/>
                <w:color w:val="auto"/>
              </w:rPr>
            </w:pPr>
          </w:p>
        </w:tc>
        <w:tc>
          <w:tcPr>
            <w:tcW w:w="13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19,839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18,087</w:t>
            </w:r>
          </w:p>
        </w:tc>
      </w:tr>
      <w:tr>
        <w:trPr>
          <w:trHeight w:val="230"/>
        </w:trPr>
        <w:tc>
          <w:tcPr>
            <w:tcW w:w="78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32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77,406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79,399</w:t>
            </w:r>
          </w:p>
        </w:tc>
      </w:tr>
      <w:tr>
        <w:trPr>
          <w:trHeight w:val="229"/>
        </w:trPr>
        <w:tc>
          <w:tcPr>
            <w:tcW w:w="7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Finance Leases</w:t>
            </w:r>
          </w:p>
        </w:tc>
        <w:tc>
          <w:tcPr>
            <w:tcW w:w="3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230"/>
        </w:trPr>
        <w:tc>
          <w:tcPr>
            <w:tcW w:w="78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Property and equipment, at cost</w:t>
            </w:r>
          </w:p>
        </w:tc>
        <w:tc>
          <w:tcPr>
            <w:tcW w:w="32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28,321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28,321</w:t>
            </w:r>
          </w:p>
        </w:tc>
      </w:tr>
      <w:tr>
        <w:trPr>
          <w:trHeight w:val="230"/>
        </w:trPr>
        <w:tc>
          <w:tcPr>
            <w:tcW w:w="7840" w:type="dxa"/>
            <w:vAlign w:val="bottom"/>
            <w:tcBorders>
              <w:bottom w:val="single" w:sz="8" w:color="CCEEFF"/>
            </w:tcBorders>
            <w:gridSpan w:val="2"/>
          </w:tcPr>
          <w:p>
            <w:pPr>
              <w:ind w:left="180"/>
              <w:spacing w:after="0"/>
              <w:rPr>
                <w:sz w:val="20"/>
                <w:szCs w:val="20"/>
                <w:color w:val="auto"/>
              </w:rPr>
            </w:pPr>
            <w:r>
              <w:rPr>
                <w:rFonts w:ascii="Times New Roman" w:cs="Times New Roman" w:eastAsia="Times New Roman" w:hAnsi="Times New Roman"/>
                <w:sz w:val="18"/>
                <w:szCs w:val="18"/>
                <w:color w:val="auto"/>
              </w:rPr>
              <w:t>Accumulated depreciation</w:t>
            </w:r>
          </w:p>
        </w:tc>
        <w:tc>
          <w:tcPr>
            <w:tcW w:w="3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(2,056)</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(1,658)</w:t>
            </w:r>
          </w:p>
        </w:tc>
      </w:tr>
      <w:tr>
        <w:trPr>
          <w:trHeight w:val="223"/>
        </w:trPr>
        <w:tc>
          <w:tcPr>
            <w:tcW w:w="78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3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26,265</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26,663</w:t>
            </w:r>
          </w:p>
        </w:tc>
      </w:tr>
      <w:tr>
        <w:trPr>
          <w:trHeight w:val="223"/>
        </w:trPr>
        <w:tc>
          <w:tcPr>
            <w:tcW w:w="78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Other liabilities</w:t>
            </w:r>
          </w:p>
        </w:tc>
        <w:tc>
          <w:tcPr>
            <w:tcW w:w="320" w:type="dxa"/>
            <w:vAlign w:val="bottom"/>
          </w:tcPr>
          <w:p>
            <w:pPr>
              <w:spacing w:after="0"/>
              <w:rPr>
                <w:sz w:val="19"/>
                <w:szCs w:val="19"/>
                <w:color w:val="auto"/>
              </w:rPr>
            </w:pPr>
          </w:p>
        </w:tc>
        <w:tc>
          <w:tcPr>
            <w:tcW w:w="13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31,249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31,021</w:t>
            </w:r>
          </w:p>
        </w:tc>
      </w:tr>
      <w:tr>
        <w:trPr>
          <w:trHeight w:val="230"/>
        </w:trPr>
        <w:tc>
          <w:tcPr>
            <w:tcW w:w="7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Remaining Lease Term</w:t>
            </w:r>
          </w:p>
        </w:tc>
        <w:tc>
          <w:tcPr>
            <w:tcW w:w="3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r>
      <w:tr>
        <w:trPr>
          <w:trHeight w:val="230"/>
        </w:trPr>
        <w:tc>
          <w:tcPr>
            <w:tcW w:w="78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Operating leases</w:t>
            </w:r>
          </w:p>
        </w:tc>
        <w:tc>
          <w:tcPr>
            <w:tcW w:w="320" w:type="dxa"/>
            <w:vAlign w:val="bottom"/>
          </w:tcPr>
          <w:p>
            <w:pPr>
              <w:spacing w:after="0"/>
              <w:rPr>
                <w:sz w:val="19"/>
                <w:szCs w:val="19"/>
                <w:color w:val="auto"/>
              </w:rPr>
            </w:pPr>
          </w:p>
        </w:tc>
        <w:tc>
          <w:tcPr>
            <w:tcW w:w="1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7.27 years</w:t>
            </w:r>
          </w:p>
        </w:tc>
        <w:tc>
          <w:tcPr>
            <w:tcW w:w="2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7.37 years</w:t>
            </w:r>
          </w:p>
        </w:tc>
      </w:tr>
      <w:tr>
        <w:trPr>
          <w:trHeight w:val="229"/>
        </w:trPr>
        <w:tc>
          <w:tcPr>
            <w:tcW w:w="78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Finance leases</w:t>
            </w:r>
          </w:p>
        </w:tc>
        <w:tc>
          <w:tcPr>
            <w:tcW w:w="32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33.00 years</w:t>
            </w: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33.50 years</w:t>
            </w:r>
          </w:p>
        </w:tc>
      </w:tr>
      <w:tr>
        <w:trPr>
          <w:trHeight w:val="230"/>
        </w:trPr>
        <w:tc>
          <w:tcPr>
            <w:tcW w:w="7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3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230"/>
        </w:trPr>
        <w:tc>
          <w:tcPr>
            <w:tcW w:w="78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leases</w:t>
            </w:r>
          </w:p>
        </w:tc>
        <w:tc>
          <w:tcPr>
            <w:tcW w:w="3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5.01 %</w:t>
            </w:r>
          </w:p>
        </w:tc>
      </w:tr>
      <w:tr>
        <w:trPr>
          <w:trHeight w:val="234"/>
        </w:trPr>
        <w:tc>
          <w:tcPr>
            <w:tcW w:w="78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Finance leases</w:t>
            </w:r>
          </w:p>
        </w:tc>
        <w:tc>
          <w:tcPr>
            <w:tcW w:w="3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7.10 %</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7.10 %</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207"/>
        </w:trPr>
        <w:tc>
          <w:tcPr>
            <w:tcW w:w="6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80" w:type="dxa"/>
            <w:vAlign w:val="bottom"/>
            <w:gridSpan w:val="5"/>
          </w:tcPr>
          <w:p>
            <w:pPr>
              <w:jc w:val="center"/>
              <w:ind w:right="360"/>
              <w:spacing w:after="0"/>
              <w:rPr>
                <w:sz w:val="20"/>
                <w:szCs w:val="20"/>
                <w:color w:val="auto"/>
              </w:rPr>
            </w:pPr>
            <w:r>
              <w:rPr>
                <w:rFonts w:ascii="Times New Roman" w:cs="Times New Roman" w:eastAsia="Times New Roman" w:hAnsi="Times New Roman"/>
                <w:sz w:val="18"/>
                <w:szCs w:val="18"/>
                <w:color w:val="auto"/>
                <w:w w:val="99"/>
              </w:rPr>
              <w:t>Three Months Ended</w:t>
            </w:r>
          </w:p>
        </w:tc>
        <w:tc>
          <w:tcPr>
            <w:tcW w:w="220" w:type="dxa"/>
            <w:vAlign w:val="bottom"/>
          </w:tcPr>
          <w:p>
            <w:pPr>
              <w:spacing w:after="0"/>
              <w:rPr>
                <w:sz w:val="17"/>
                <w:szCs w:val="17"/>
                <w:color w:val="auto"/>
              </w:rPr>
            </w:pPr>
          </w:p>
        </w:tc>
        <w:tc>
          <w:tcPr>
            <w:tcW w:w="1960" w:type="dxa"/>
            <w:vAlign w:val="bottom"/>
            <w:gridSpan w:val="4"/>
          </w:tcPr>
          <w:p>
            <w:pPr>
              <w:jc w:val="center"/>
              <w:ind w:right="170"/>
              <w:spacing w:after="0"/>
              <w:rPr>
                <w:sz w:val="20"/>
                <w:szCs w:val="20"/>
                <w:color w:val="auto"/>
              </w:rPr>
            </w:pPr>
            <w:r>
              <w:rPr>
                <w:rFonts w:ascii="Times New Roman" w:cs="Times New Roman" w:eastAsia="Times New Roman" w:hAnsi="Times New Roman"/>
                <w:sz w:val="18"/>
                <w:szCs w:val="18"/>
                <w:color w:val="auto"/>
                <w:w w:val="99"/>
              </w:rPr>
              <w:t>Six Months Ended</w:t>
            </w:r>
          </w:p>
        </w:tc>
      </w:tr>
      <w:tr>
        <w:trPr>
          <w:trHeight w:val="237"/>
        </w:trPr>
        <w:tc>
          <w:tcPr>
            <w:tcW w:w="6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gridSpan w:val="3"/>
          </w:tcPr>
          <w:p>
            <w:pPr>
              <w:jc w:val="center"/>
              <w:ind w:left="430"/>
              <w:spacing w:after="0"/>
              <w:rPr>
                <w:sz w:val="20"/>
                <w:szCs w:val="20"/>
                <w:color w:val="auto"/>
              </w:rPr>
            </w:pPr>
            <w:r>
              <w:rPr>
                <w:rFonts w:ascii="Times New Roman" w:cs="Times New Roman" w:eastAsia="Times New Roman" w:hAnsi="Times New Roman"/>
                <w:sz w:val="18"/>
                <w:szCs w:val="18"/>
                <w:color w:val="auto"/>
                <w:w w:val="99"/>
              </w:rPr>
              <w:t>June 30,</w:t>
            </w:r>
          </w:p>
        </w:tc>
        <w:tc>
          <w:tcPr>
            <w:tcW w:w="7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gridSpan w:val="3"/>
          </w:tcPr>
          <w:p>
            <w:pPr>
              <w:jc w:val="center"/>
              <w:ind w:left="410"/>
              <w:spacing w:after="0"/>
              <w:rPr>
                <w:sz w:val="20"/>
                <w:szCs w:val="20"/>
                <w:color w:val="auto"/>
              </w:rPr>
            </w:pPr>
            <w:r>
              <w:rPr>
                <w:rFonts w:ascii="Times New Roman" w:cs="Times New Roman" w:eastAsia="Times New Roman" w:hAnsi="Times New Roman"/>
                <w:sz w:val="18"/>
                <w:szCs w:val="18"/>
                <w:color w:val="auto"/>
                <w:w w:val="99"/>
              </w:rPr>
              <w:t>June 30,</w:t>
            </w:r>
          </w:p>
        </w:tc>
        <w:tc>
          <w:tcPr>
            <w:tcW w:w="740" w:type="dxa"/>
            <w:vAlign w:val="bottom"/>
            <w:tcBorders>
              <w:bottom w:val="single" w:sz="8" w:color="auto"/>
            </w:tcBorders>
          </w:tcPr>
          <w:p>
            <w:pPr>
              <w:spacing w:after="0"/>
              <w:rPr>
                <w:sz w:val="20"/>
                <w:szCs w:val="20"/>
                <w:color w:val="auto"/>
              </w:rPr>
            </w:pPr>
          </w:p>
        </w:tc>
      </w:tr>
      <w:tr>
        <w:trPr>
          <w:trHeight w:val="229"/>
        </w:trPr>
        <w:tc>
          <w:tcPr>
            <w:tcW w:w="6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200" w:type="dxa"/>
            <w:vAlign w:val="bottom"/>
          </w:tcPr>
          <w:p>
            <w:pPr>
              <w:spacing w:after="0"/>
              <w:rPr>
                <w:sz w:val="19"/>
                <w:szCs w:val="19"/>
                <w:color w:val="auto"/>
              </w:rPr>
            </w:pPr>
          </w:p>
        </w:tc>
        <w:tc>
          <w:tcPr>
            <w:tcW w:w="8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2024</w:t>
            </w:r>
          </w:p>
        </w:tc>
      </w:tr>
      <w:tr>
        <w:trPr>
          <w:trHeight w:val="74"/>
        </w:trPr>
        <w:tc>
          <w:tcPr>
            <w:tcW w:w="668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Borders>
              <w:top w:val="single" w:sz="8" w:color="auto"/>
            </w:tcBorders>
          </w:tcPr>
          <w:p>
            <w:pPr>
              <w:spacing w:after="0"/>
              <w:rPr>
                <w:sz w:val="6"/>
                <w:szCs w:val="6"/>
                <w:color w:val="auto"/>
              </w:rPr>
            </w:pPr>
          </w:p>
        </w:tc>
        <w:tc>
          <w:tcPr>
            <w:tcW w:w="84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300" w:type="dxa"/>
            <w:vAlign w:val="bottom"/>
            <w:tcBorders>
              <w:top w:val="single" w:sz="8" w:color="auto"/>
            </w:tcBorders>
          </w:tcPr>
          <w:p>
            <w:pPr>
              <w:spacing w:after="0"/>
              <w:rPr>
                <w:sz w:val="6"/>
                <w:szCs w:val="6"/>
                <w:color w:val="auto"/>
              </w:rPr>
            </w:pPr>
          </w:p>
        </w:tc>
        <w:tc>
          <w:tcPr>
            <w:tcW w:w="74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220" w:type="dxa"/>
            <w:vAlign w:val="bottom"/>
            <w:tcBorders>
              <w:top w:val="single" w:sz="8" w:color="auto"/>
            </w:tcBorders>
          </w:tcPr>
          <w:p>
            <w:pPr>
              <w:spacing w:after="0"/>
              <w:rPr>
                <w:sz w:val="6"/>
                <w:szCs w:val="6"/>
                <w:color w:val="auto"/>
              </w:rPr>
            </w:pPr>
          </w:p>
        </w:tc>
        <w:tc>
          <w:tcPr>
            <w:tcW w:w="82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300" w:type="dxa"/>
            <w:vAlign w:val="bottom"/>
            <w:tcBorders>
              <w:top w:val="single" w:sz="8" w:color="auto"/>
            </w:tcBorders>
          </w:tcPr>
          <w:p>
            <w:pPr>
              <w:spacing w:after="0"/>
              <w:rPr>
                <w:sz w:val="6"/>
                <w:szCs w:val="6"/>
                <w:color w:val="auto"/>
              </w:rPr>
            </w:pPr>
          </w:p>
        </w:tc>
        <w:tc>
          <w:tcPr>
            <w:tcW w:w="740" w:type="dxa"/>
            <w:vAlign w:val="bottom"/>
            <w:tcBorders>
              <w:top w:val="single" w:sz="8" w:color="auto"/>
            </w:tcBorders>
          </w:tcPr>
          <w:p>
            <w:pPr>
              <w:spacing w:after="0"/>
              <w:rPr>
                <w:sz w:val="6"/>
                <w:szCs w:val="6"/>
                <w:color w:val="auto"/>
              </w:rPr>
            </w:pPr>
          </w:p>
        </w:tc>
      </w:tr>
      <w:tr>
        <w:trPr>
          <w:trHeight w:val="230"/>
        </w:trPr>
        <w:tc>
          <w:tcPr>
            <w:tcW w:w="6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Supplemental Cash Flows Information</w:t>
            </w: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r>
      <w:tr>
        <w:trPr>
          <w:trHeight w:val="229"/>
        </w:trPr>
        <w:tc>
          <w:tcPr>
            <w:tcW w:w="67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40" w:type="dxa"/>
            <w:vAlign w:val="bottom"/>
          </w:tcPr>
          <w:p>
            <w:pPr>
              <w:spacing w:after="0"/>
              <w:rPr>
                <w:sz w:val="19"/>
                <w:szCs w:val="19"/>
                <w:color w:val="auto"/>
              </w:rPr>
            </w:pPr>
          </w:p>
        </w:tc>
      </w:tr>
      <w:tr>
        <w:trPr>
          <w:trHeight w:val="230"/>
        </w:trPr>
        <w:tc>
          <w:tcPr>
            <w:tcW w:w="67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Operating cash flows from operating leases</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5,714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11,112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11,192</w:t>
            </w:r>
          </w:p>
        </w:tc>
      </w:tr>
      <w:tr>
        <w:trPr>
          <w:trHeight w:val="229"/>
        </w:trPr>
        <w:tc>
          <w:tcPr>
            <w:tcW w:w="67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Operating cash flows from finance leases</w:t>
            </w: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426</w:t>
            </w:r>
          </w:p>
        </w:tc>
      </w:tr>
      <w:tr>
        <w:trPr>
          <w:trHeight w:val="229"/>
        </w:trPr>
        <w:tc>
          <w:tcPr>
            <w:tcW w:w="67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Financing cash flows from finance leases</w:t>
            </w:r>
          </w:p>
        </w:tc>
        <w:tc>
          <w:tcPr>
            <w:tcW w:w="2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7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Right-of-use assets obtained in exchange for operating lease obligations</w:t>
            </w: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9,947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12,098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10,095</w:t>
            </w:r>
          </w:p>
        </w:tc>
      </w:tr>
      <w:tr>
        <w:trPr>
          <w:trHeight w:val="229"/>
        </w:trPr>
        <w:tc>
          <w:tcPr>
            <w:tcW w:w="67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Right-of-use assets obtained in exchange for finance lease obligations</w:t>
            </w:r>
          </w:p>
        </w:tc>
        <w:tc>
          <w:tcPr>
            <w:tcW w:w="2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31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Future minimum lease payments under non-cancellable leases as of June 30, 2025 were as follows: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5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6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auto"/>
                <w:w w:val="99"/>
              </w:rPr>
              <w:t>Operating</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gridSpan w:val="2"/>
          </w:tcPr>
          <w:p>
            <w:pPr>
              <w:jc w:val="center"/>
              <w:ind w:right="600"/>
              <w:spacing w:after="0"/>
              <w:rPr>
                <w:sz w:val="20"/>
                <w:szCs w:val="20"/>
                <w:color w:val="auto"/>
              </w:rPr>
            </w:pPr>
            <w:r>
              <w:rPr>
                <w:rFonts w:ascii="Times New Roman" w:cs="Times New Roman" w:eastAsia="Times New Roman" w:hAnsi="Times New Roman"/>
                <w:sz w:val="18"/>
                <w:szCs w:val="18"/>
                <w:color w:val="auto"/>
              </w:rPr>
              <w:t>Finance</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1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3"/>
          </w:tcPr>
          <w:p>
            <w:pPr>
              <w:ind w:left="680"/>
              <w:spacing w:after="0"/>
              <w:rPr>
                <w:sz w:val="20"/>
                <w:szCs w:val="20"/>
                <w:color w:val="auto"/>
              </w:rPr>
            </w:pPr>
            <w:r>
              <w:rPr>
                <w:rFonts w:ascii="Times New Roman" w:cs="Times New Roman" w:eastAsia="Times New Roman" w:hAnsi="Times New Roman"/>
                <w:sz w:val="18"/>
                <w:szCs w:val="18"/>
                <w:color w:val="auto"/>
                <w:w w:val="97"/>
              </w:rPr>
              <w:t>Leases</w:t>
            </w:r>
          </w:p>
        </w:tc>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gridSpan w:val="2"/>
          </w:tcPr>
          <w:p>
            <w:pPr>
              <w:jc w:val="center"/>
              <w:ind w:right="600"/>
              <w:spacing w:after="0"/>
              <w:rPr>
                <w:sz w:val="20"/>
                <w:szCs w:val="20"/>
                <w:color w:val="auto"/>
              </w:rPr>
            </w:pPr>
            <w:r>
              <w:rPr>
                <w:rFonts w:ascii="Times New Roman" w:cs="Times New Roman" w:eastAsia="Times New Roman" w:hAnsi="Times New Roman"/>
                <w:sz w:val="18"/>
                <w:szCs w:val="18"/>
                <w:color w:val="auto"/>
              </w:rPr>
              <w:t>Leases</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5100" w:type="dxa"/>
            <w:vAlign w:val="bottom"/>
            <w:tcBorders>
              <w:top w:val="single" w:sz="8" w:color="auto"/>
            </w:tcBorders>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180" w:type="dxa"/>
            <w:vAlign w:val="bottom"/>
            <w:tcBorders>
              <w:top w:val="single" w:sz="8" w:color="auto"/>
            </w:tcBorders>
          </w:tcPr>
          <w:p>
            <w:pPr>
              <w:spacing w:after="0"/>
              <w:rPr>
                <w:sz w:val="2"/>
                <w:szCs w:val="2"/>
                <w:color w:val="auto"/>
              </w:rPr>
            </w:pPr>
          </w:p>
        </w:tc>
        <w:tc>
          <w:tcPr>
            <w:tcW w:w="1240" w:type="dxa"/>
            <w:vAlign w:val="bottom"/>
            <w:tcBorders>
              <w:top w:val="single" w:sz="8" w:color="auto"/>
            </w:tcBorders>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6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Borders>
              <w:top w:val="single" w:sz="8" w:color="auto"/>
            </w:tcBorders>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360" w:type="dxa"/>
            <w:vAlign w:val="bottom"/>
            <w:tcBorders>
              <w:top w:val="single" w:sz="8" w:color="auto"/>
            </w:tcBorders>
          </w:tcPr>
          <w:p>
            <w:pPr>
              <w:spacing w:after="0"/>
              <w:rPr>
                <w:sz w:val="2"/>
                <w:szCs w:val="2"/>
                <w:color w:val="auto"/>
              </w:rPr>
            </w:pPr>
          </w:p>
        </w:tc>
        <w:tc>
          <w:tcPr>
            <w:tcW w:w="580" w:type="dxa"/>
            <w:vAlign w:val="bottom"/>
            <w:tcBorders>
              <w:top w:val="single" w:sz="8" w:color="auto"/>
            </w:tcBorders>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top w:val="single" w:sz="8" w:color="auto"/>
            </w:tcBorders>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180" w:type="dxa"/>
            <w:vAlign w:val="bottom"/>
            <w:tcBorders>
              <w:top w:val="single" w:sz="8" w:color="auto"/>
            </w:tcBorders>
          </w:tcPr>
          <w:p>
            <w:pPr>
              <w:spacing w:after="0"/>
              <w:rPr>
                <w:sz w:val="2"/>
                <w:szCs w:val="2"/>
                <w:color w:val="auto"/>
              </w:rPr>
            </w:pPr>
          </w:p>
        </w:tc>
        <w:tc>
          <w:tcPr>
            <w:tcW w:w="1240" w:type="dxa"/>
            <w:vAlign w:val="bottom"/>
            <w:tcBorders>
              <w:top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19"/>
                <w:szCs w:val="19"/>
                <w:color w:val="auto"/>
              </w:rPr>
            </w:pPr>
          </w:p>
        </w:tc>
        <w:tc>
          <w:tcPr>
            <w:tcW w:w="5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Remainder of 2025</w:t>
            </w: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14,012</w:t>
            </w:r>
          </w:p>
        </w:tc>
        <w:tc>
          <w:tcPr>
            <w:tcW w:w="480" w:type="dxa"/>
            <w:vAlign w:val="bottom"/>
            <w:gridSpan w:val="3"/>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23,525</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20,336</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14,746</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12,283</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2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180" w:type="dxa"/>
            <w:vAlign w:val="bottom"/>
            <w:tcBorders>
              <w:bottom w:val="single" w:sz="8" w:color="CCEEFF"/>
            </w:tcBorders>
          </w:tcPr>
          <w:p>
            <w:pPr>
              <w:spacing w:after="0"/>
              <w:rPr>
                <w:sz w:val="19"/>
                <w:szCs w:val="19"/>
                <w:color w:val="auto"/>
              </w:rPr>
            </w:pPr>
          </w:p>
        </w:tc>
        <w:tc>
          <w:tcPr>
            <w:tcW w:w="124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6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31,371</w:t>
            </w: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88,145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Total future minimum lease payments</w:t>
            </w: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116,273</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96,649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2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Less: Imputed interest</w:t>
            </w:r>
          </w:p>
        </w:tc>
        <w:tc>
          <w:tcPr>
            <w:tcW w:w="180" w:type="dxa"/>
            <w:vAlign w:val="bottom"/>
            <w:tcBorders>
              <w:bottom w:val="single" w:sz="8" w:color="CCEEFF"/>
            </w:tcBorders>
          </w:tcPr>
          <w:p>
            <w:pPr>
              <w:spacing w:after="0"/>
              <w:rPr>
                <w:sz w:val="19"/>
                <w:szCs w:val="19"/>
                <w:color w:val="auto"/>
              </w:rPr>
            </w:pPr>
          </w:p>
        </w:tc>
        <w:tc>
          <w:tcPr>
            <w:tcW w:w="124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6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97"/>
              </w:rPr>
              <w:t>(19,028)</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(65,400)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00" w:type="dxa"/>
            <w:vAlign w:val="bottom"/>
            <w:tcBorders>
              <w:bottom w:val="single" w:sz="8" w:color="CCEEFF"/>
            </w:tcBorders>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97,245</w:t>
            </w:r>
          </w:p>
        </w:tc>
        <w:tc>
          <w:tcPr>
            <w:tcW w:w="8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31,249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2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240" w:type="dxa"/>
            <w:vAlign w:val="bottom"/>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522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6. Goodwill and Other Intangible Assets</w:t>
            </w:r>
          </w:p>
        </w:tc>
        <w:tc>
          <w:tcPr>
            <w:tcW w:w="1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70"/>
        </w:trPr>
        <w:tc>
          <w:tcPr>
            <w:tcW w:w="5220" w:type="dxa"/>
            <w:vAlign w:val="bottom"/>
            <w:gridSpan w:val="3"/>
            <w:vMerge w:val="continue"/>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520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Goodwill consisted of the following:</w:t>
            </w:r>
          </w:p>
        </w:tc>
        <w:tc>
          <w:tcPr>
            <w:tcW w:w="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20" w:type="dxa"/>
            <w:vAlign w:val="bottom"/>
          </w:tcPr>
          <w:p>
            <w:pPr>
              <w:spacing w:after="0"/>
              <w:rPr>
                <w:sz w:val="24"/>
                <w:szCs w:val="24"/>
                <w:color w:val="auto"/>
              </w:rPr>
            </w:pPr>
          </w:p>
        </w:tc>
        <w:tc>
          <w:tcPr>
            <w:tcW w:w="5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180" w:type="dxa"/>
            <w:vAlign w:val="bottom"/>
          </w:tcPr>
          <w:p>
            <w:pPr>
              <w:spacing w:after="0"/>
              <w:rPr>
                <w:sz w:val="24"/>
                <w:szCs w:val="24"/>
                <w:color w:val="auto"/>
              </w:rPr>
            </w:pPr>
          </w:p>
        </w:tc>
        <w:tc>
          <w:tcPr>
            <w:tcW w:w="13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Local Media</w:t>
            </w:r>
          </w:p>
        </w:tc>
        <w:tc>
          <w:tcPr>
            <w:tcW w:w="152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color w:val="auto"/>
              </w:rPr>
              <w:t>Scripps Networks</w:t>
            </w:r>
          </w:p>
        </w:tc>
        <w:tc>
          <w:tcPr>
            <w:tcW w:w="36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Other</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0" w:type="dxa"/>
            <w:vAlign w:val="bottom"/>
          </w:tcPr>
          <w:p>
            <w:pPr>
              <w:spacing w:after="0"/>
              <w:rPr>
                <w:sz w:val="1"/>
                <w:szCs w:val="1"/>
                <w:color w:val="auto"/>
              </w:rPr>
            </w:pPr>
          </w:p>
        </w:tc>
      </w:tr>
      <w:tr>
        <w:trPr>
          <w:trHeight w:val="34"/>
        </w:trPr>
        <w:tc>
          <w:tcPr>
            <w:tcW w:w="20" w:type="dxa"/>
            <w:vAlign w:val="bottom"/>
            <w:tcBorders>
              <w:top w:val="single" w:sz="8" w:color="auto"/>
            </w:tcBorders>
          </w:tcPr>
          <w:p>
            <w:pPr>
              <w:spacing w:after="0"/>
              <w:rPr>
                <w:sz w:val="2"/>
                <w:szCs w:val="2"/>
                <w:color w:val="auto"/>
              </w:rPr>
            </w:pPr>
          </w:p>
        </w:tc>
        <w:tc>
          <w:tcPr>
            <w:tcW w:w="51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top w:val="single" w:sz="8" w:color="auto"/>
            </w:tcBorders>
          </w:tcPr>
          <w:p>
            <w:pPr>
              <w:spacing w:after="0"/>
              <w:rPr>
                <w:sz w:val="2"/>
                <w:szCs w:val="2"/>
                <w:color w:val="auto"/>
              </w:rPr>
            </w:pPr>
          </w:p>
        </w:tc>
        <w:tc>
          <w:tcPr>
            <w:tcW w:w="124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Borders>
              <w:top w:val="single" w:sz="8" w:color="auto"/>
            </w:tcBorders>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72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top w:val="single" w:sz="8" w:color="auto"/>
            </w:tcBorders>
          </w:tcPr>
          <w:p>
            <w:pPr>
              <w:spacing w:after="0"/>
              <w:rPr>
                <w:sz w:val="2"/>
                <w:szCs w:val="2"/>
                <w:color w:val="auto"/>
              </w:rPr>
            </w:pPr>
          </w:p>
        </w:tc>
        <w:tc>
          <w:tcPr>
            <w:tcW w:w="580" w:type="dxa"/>
            <w:vAlign w:val="bottom"/>
            <w:tcBorders>
              <w:top w:val="single" w:sz="8" w:color="auto"/>
            </w:tcBorders>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3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top w:val="single" w:sz="8" w:color="auto"/>
            </w:tcBorders>
          </w:tcPr>
          <w:p>
            <w:pPr>
              <w:spacing w:after="0"/>
              <w:rPr>
                <w:sz w:val="2"/>
                <w:szCs w:val="2"/>
                <w:color w:val="auto"/>
              </w:rPr>
            </w:pPr>
          </w:p>
        </w:tc>
        <w:tc>
          <w:tcPr>
            <w:tcW w:w="124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balance as of December 31, 2024</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1,122,408</w:t>
            </w: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2,028,890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center"/>
              <w:ind w:right="13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spacing w:after="0"/>
              <w:rPr>
                <w:sz w:val="19"/>
                <w:szCs w:val="19"/>
                <w:color w:val="auto"/>
              </w:rPr>
            </w:pPr>
          </w:p>
        </w:tc>
        <w:tc>
          <w:tcPr>
            <w:tcW w:w="4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7,190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3,158,488</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Accumulated impairment losses</w:t>
            </w: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(216,914)</w:t>
            </w: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w w:val="99"/>
              </w:rPr>
              <w:t>(973,000)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(1,189,914)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520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balance as of December 31, 2024</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905,494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600" w:type="dxa"/>
            <w:vAlign w:val="bottom"/>
            <w:tcBorders>
              <w:top w:val="single" w:sz="8" w:color="auto"/>
              <w:bottom w:val="single" w:sz="8" w:color="auto"/>
            </w:tcBorders>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1,055,890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jc w:val="center"/>
              <w:ind w:right="13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top w:val="single" w:sz="8" w:color="auto"/>
              <w:bottom w:val="single" w:sz="8" w:color="auto"/>
            </w:tcBorders>
            <w:shd w:val="clear" w:color="auto" w:fill="CCEEFF"/>
          </w:tcPr>
          <w:p>
            <w:pPr>
              <w:spacing w:after="0"/>
              <w:rPr>
                <w:sz w:val="21"/>
                <w:szCs w:val="21"/>
                <w:color w:val="auto"/>
              </w:rPr>
            </w:pPr>
          </w:p>
        </w:tc>
        <w:tc>
          <w:tcPr>
            <w:tcW w:w="48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7,190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1,968,574</w:t>
            </w: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5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gridSpan w:val="3"/>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5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balance as of June 30, 2025</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1,122,408</w:t>
            </w: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2,028,890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center"/>
              <w:ind w:right="13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spacing w:after="0"/>
              <w:rPr>
                <w:sz w:val="19"/>
                <w:szCs w:val="19"/>
                <w:color w:val="auto"/>
              </w:rPr>
            </w:pPr>
          </w:p>
        </w:tc>
        <w:tc>
          <w:tcPr>
            <w:tcW w:w="4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7,190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3,158,488</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Accumulated impairment losses</w:t>
            </w: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(216,914)</w:t>
            </w: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w w:val="99"/>
              </w:rPr>
              <w:t>(973,000)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(1,189,914)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520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balance as of June 30, 2025</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905,494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600" w:type="dxa"/>
            <w:vAlign w:val="bottom"/>
            <w:tcBorders>
              <w:top w:val="single" w:sz="8" w:color="auto"/>
              <w:bottom w:val="single" w:sz="8" w:color="auto"/>
            </w:tcBorders>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1,055,890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jc w:val="center"/>
              <w:ind w:right="13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top w:val="single" w:sz="8" w:color="auto"/>
              <w:bottom w:val="single" w:sz="8" w:color="auto"/>
            </w:tcBorders>
            <w:shd w:val="clear" w:color="auto" w:fill="CCEEFF"/>
          </w:tcPr>
          <w:p>
            <w:pPr>
              <w:spacing w:after="0"/>
              <w:rPr>
                <w:sz w:val="21"/>
                <w:szCs w:val="21"/>
                <w:color w:val="auto"/>
              </w:rPr>
            </w:pPr>
          </w:p>
        </w:tc>
        <w:tc>
          <w:tcPr>
            <w:tcW w:w="48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7,190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1,968,574</w:t>
            </w: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5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81"/>
        </w:trPr>
        <w:tc>
          <w:tcPr>
            <w:tcW w:w="20" w:type="dxa"/>
            <w:vAlign w:val="bottom"/>
          </w:tcPr>
          <w:p>
            <w:pPr>
              <w:spacing w:after="0"/>
              <w:rPr>
                <w:sz w:val="24"/>
                <w:szCs w:val="24"/>
                <w:color w:val="auto"/>
              </w:rPr>
            </w:pPr>
          </w:p>
        </w:tc>
        <w:tc>
          <w:tcPr>
            <w:tcW w:w="5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F-13</w:t>
            </w: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51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05" w:right="339"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234"/>
        </w:trPr>
        <w:tc>
          <w:tcPr>
            <w:tcW w:w="818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Other intangible assets consisted of the following:</w:t>
            </w:r>
          </w:p>
        </w:tc>
        <w:tc>
          <w:tcPr>
            <w:tcW w:w="2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297"/>
        </w:trPr>
        <w:tc>
          <w:tcPr>
            <w:tcW w:w="8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As of</w:t>
            </w:r>
          </w:p>
        </w:tc>
        <w:tc>
          <w:tcPr>
            <w:tcW w:w="160" w:type="dxa"/>
            <w:vAlign w:val="bottom"/>
          </w:tcPr>
          <w:p>
            <w:pPr>
              <w:spacing w:after="0"/>
              <w:rPr>
                <w:sz w:val="24"/>
                <w:szCs w:val="24"/>
                <w:color w:val="auto"/>
              </w:rPr>
            </w:pPr>
          </w:p>
        </w:tc>
        <w:tc>
          <w:tcPr>
            <w:tcW w:w="132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As of</w:t>
            </w:r>
          </w:p>
        </w:tc>
      </w:tr>
      <w:tr>
        <w:trPr>
          <w:trHeight w:val="175"/>
        </w:trPr>
        <w:tc>
          <w:tcPr>
            <w:tcW w:w="8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20" w:type="dxa"/>
            <w:vAlign w:val="bottom"/>
            <w:gridSpan w:val="2"/>
          </w:tcPr>
          <w:p>
            <w:pPr>
              <w:ind w:left="160"/>
              <w:spacing w:after="0" w:line="176" w:lineRule="exact"/>
              <w:rPr>
                <w:sz w:val="20"/>
                <w:szCs w:val="20"/>
                <w:color w:val="auto"/>
              </w:rPr>
            </w:pPr>
            <w:r>
              <w:rPr>
                <w:rFonts w:ascii="Times New Roman" w:cs="Times New Roman" w:eastAsia="Times New Roman" w:hAnsi="Times New Roman"/>
                <w:sz w:val="18"/>
                <w:szCs w:val="18"/>
                <w:color w:val="auto"/>
              </w:rPr>
              <w:t>June 30,</w:t>
            </w:r>
          </w:p>
        </w:tc>
        <w:tc>
          <w:tcPr>
            <w:tcW w:w="160" w:type="dxa"/>
            <w:vAlign w:val="bottom"/>
          </w:tcPr>
          <w:p>
            <w:pPr>
              <w:spacing w:after="0"/>
              <w:rPr>
                <w:sz w:val="15"/>
                <w:szCs w:val="15"/>
                <w:color w:val="auto"/>
              </w:rPr>
            </w:pPr>
          </w:p>
        </w:tc>
        <w:tc>
          <w:tcPr>
            <w:tcW w:w="1320" w:type="dxa"/>
            <w:vAlign w:val="bottom"/>
          </w:tcPr>
          <w:p>
            <w:pPr>
              <w:jc w:val="right"/>
              <w:ind w:right="170"/>
              <w:spacing w:after="0" w:line="176" w:lineRule="exact"/>
              <w:rPr>
                <w:sz w:val="20"/>
                <w:szCs w:val="20"/>
                <w:color w:val="auto"/>
              </w:rPr>
            </w:pPr>
            <w:r>
              <w:rPr>
                <w:rFonts w:ascii="Times New Roman" w:cs="Times New Roman" w:eastAsia="Times New Roman" w:hAnsi="Times New Roman"/>
                <w:sz w:val="18"/>
                <w:szCs w:val="18"/>
                <w:color w:val="auto"/>
              </w:rPr>
              <w:t>December 31,</w:t>
            </w:r>
          </w:p>
        </w:tc>
      </w:tr>
      <w:tr>
        <w:trPr>
          <w:trHeight w:val="243"/>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260" w:type="dxa"/>
            <w:vAlign w:val="bottom"/>
          </w:tcPr>
          <w:p>
            <w:pPr>
              <w:spacing w:after="0"/>
              <w:rPr>
                <w:sz w:val="21"/>
                <w:szCs w:val="21"/>
                <w:color w:val="auto"/>
              </w:rPr>
            </w:pPr>
          </w:p>
        </w:tc>
        <w:tc>
          <w:tcPr>
            <w:tcW w:w="122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2024</w:t>
            </w:r>
          </w:p>
        </w:tc>
      </w:tr>
      <w:tr>
        <w:trPr>
          <w:trHeight w:val="34"/>
        </w:trPr>
        <w:tc>
          <w:tcPr>
            <w:tcW w:w="80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top w:val="single" w:sz="8" w:color="auto"/>
            </w:tcBorders>
          </w:tcPr>
          <w:p>
            <w:pPr>
              <w:spacing w:after="0"/>
              <w:rPr>
                <w:sz w:val="2"/>
                <w:szCs w:val="2"/>
                <w:color w:val="auto"/>
              </w:rPr>
            </w:pPr>
          </w:p>
        </w:tc>
        <w:tc>
          <w:tcPr>
            <w:tcW w:w="122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1320" w:type="dxa"/>
            <w:vAlign w:val="bottom"/>
            <w:tcBorders>
              <w:top w:val="single" w:sz="8" w:color="auto"/>
            </w:tcBorders>
          </w:tcPr>
          <w:p>
            <w:pPr>
              <w:spacing w:after="0"/>
              <w:rPr>
                <w:sz w:val="2"/>
                <w:szCs w:val="2"/>
                <w:color w:val="auto"/>
              </w:rPr>
            </w:pPr>
          </w:p>
        </w:tc>
      </w:tr>
      <w:tr>
        <w:trPr>
          <w:trHeight w:val="230"/>
        </w:trPr>
        <w:tc>
          <w:tcPr>
            <w:tcW w:w="8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Amortizable intangible assets:</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r>
      <w:tr>
        <w:trPr>
          <w:trHeight w:val="229"/>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Carrying amount:</w:t>
            </w: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30"/>
        </w:trPr>
        <w:tc>
          <w:tcPr>
            <w:tcW w:w="81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Television affiliation relationships</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1,060,244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1,060,244</w:t>
            </w:r>
          </w:p>
        </w:tc>
      </w:tr>
      <w:tr>
        <w:trPr>
          <w:trHeight w:val="229"/>
        </w:trPr>
        <w:tc>
          <w:tcPr>
            <w:tcW w:w="81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Customer lists and advertiser relationships</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220,997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220,997</w:t>
            </w:r>
          </w:p>
        </w:tc>
      </w:tr>
      <w:tr>
        <w:trPr>
          <w:trHeight w:val="229"/>
        </w:trPr>
        <w:tc>
          <w:tcPr>
            <w:tcW w:w="81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139,141</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137,997</w:t>
            </w:r>
          </w:p>
        </w:tc>
      </w:tr>
      <w:tr>
        <w:trPr>
          <w:trHeight w:val="223"/>
        </w:trPr>
        <w:tc>
          <w:tcPr>
            <w:tcW w:w="818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8"/>
                <w:szCs w:val="18"/>
                <w:color w:val="auto"/>
              </w:rPr>
              <w:t>Total carrying amount</w:t>
            </w:r>
          </w:p>
        </w:tc>
        <w:tc>
          <w:tcPr>
            <w:tcW w:w="2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1,420,382</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1,419,238</w:t>
            </w:r>
          </w:p>
        </w:tc>
      </w:tr>
      <w:tr>
        <w:trPr>
          <w:trHeight w:val="209"/>
        </w:trPr>
        <w:tc>
          <w:tcPr>
            <w:tcW w:w="8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Accumulated amortization:</w:t>
            </w: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r>
      <w:tr>
        <w:trPr>
          <w:trHeight w:val="230"/>
        </w:trPr>
        <w:tc>
          <w:tcPr>
            <w:tcW w:w="81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Television affiliation relationships</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(357,269)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(330,233)</w:t>
            </w:r>
          </w:p>
        </w:tc>
      </w:tr>
      <w:tr>
        <w:trPr>
          <w:trHeight w:val="229"/>
        </w:trPr>
        <w:tc>
          <w:tcPr>
            <w:tcW w:w="81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Customer lists and advertiser relationships</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(167,676)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(156,310)</w:t>
            </w:r>
          </w:p>
        </w:tc>
      </w:tr>
      <w:tr>
        <w:trPr>
          <w:trHeight w:val="229"/>
        </w:trPr>
        <w:tc>
          <w:tcPr>
            <w:tcW w:w="818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(84,331)</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(76,622)</w:t>
            </w:r>
          </w:p>
        </w:tc>
      </w:tr>
      <w:tr>
        <w:trPr>
          <w:trHeight w:val="223"/>
        </w:trPr>
        <w:tc>
          <w:tcPr>
            <w:tcW w:w="81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accumulated amortization</w:t>
            </w:r>
          </w:p>
        </w:tc>
        <w:tc>
          <w:tcPr>
            <w:tcW w:w="2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(609,276)</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(563,165)</w:t>
            </w:r>
          </w:p>
        </w:tc>
      </w:tr>
      <w:tr>
        <w:trPr>
          <w:trHeight w:val="223"/>
        </w:trPr>
        <w:tc>
          <w:tcPr>
            <w:tcW w:w="81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Net amortizable intangible assets</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811,106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856,073</w:t>
            </w:r>
          </w:p>
        </w:tc>
      </w:tr>
      <w:tr>
        <w:trPr>
          <w:trHeight w:val="229"/>
        </w:trPr>
        <w:tc>
          <w:tcPr>
            <w:tcW w:w="8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Indefinite-lived intangible assets — FCC licenses</w:t>
            </w:r>
          </w:p>
        </w:tc>
        <w:tc>
          <w:tcPr>
            <w:tcW w:w="2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779,415</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779,415</w:t>
            </w:r>
          </w:p>
        </w:tc>
      </w:tr>
      <w:tr>
        <w:trPr>
          <w:trHeight w:val="223"/>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other intangible assets</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1,590,521</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1,635,488</w:t>
            </w:r>
          </w:p>
        </w:tc>
      </w:tr>
      <w:tr>
        <w:trPr>
          <w:trHeight w:val="20"/>
        </w:trPr>
        <w:tc>
          <w:tcPr>
            <w:tcW w:w="8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49" w:lineRule="exact"/>
        <w:rPr>
          <w:sz w:val="20"/>
          <w:szCs w:val="20"/>
          <w:color w:val="auto"/>
        </w:rPr>
      </w:pPr>
    </w:p>
    <w:p>
      <w:pPr>
        <w:ind w:right="140" w:firstLine="405"/>
        <w:spacing w:after="0" w:line="282" w:lineRule="auto"/>
        <w:rPr>
          <w:sz w:val="20"/>
          <w:szCs w:val="20"/>
          <w:color w:val="auto"/>
        </w:rPr>
      </w:pPr>
      <w:r>
        <w:rPr>
          <w:rFonts w:ascii="Times New Roman" w:cs="Times New Roman" w:eastAsia="Times New Roman" w:hAnsi="Times New Roman"/>
          <w:sz w:val="18"/>
          <w:szCs w:val="18"/>
          <w:color w:val="auto"/>
        </w:rPr>
        <w:t>Estimated amortization expense of intangible assets for each of the next five years is $45.1 million for the remainder of 2025, $86.5 million in 2026, $83.4 million in 2027, $62.0 million in 2028, $62.0 million in 2029, $61.9 million in 2030 and $410.2 million in later years.</w:t>
      </w:r>
    </w:p>
    <w:p>
      <w:pPr>
        <w:spacing w:after="0" w:line="189" w:lineRule="exact"/>
        <w:rPr>
          <w:sz w:val="20"/>
          <w:szCs w:val="20"/>
          <w:color w:val="auto"/>
        </w:rPr>
      </w:pPr>
    </w:p>
    <w:p>
      <w:pPr>
        <w:ind w:right="40" w:firstLine="405"/>
        <w:spacing w:after="0" w:line="254" w:lineRule="auto"/>
        <w:rPr>
          <w:sz w:val="20"/>
          <w:szCs w:val="20"/>
          <w:color w:val="auto"/>
        </w:rPr>
      </w:pPr>
      <w:r>
        <w:rPr>
          <w:rFonts w:ascii="Times New Roman" w:cs="Times New Roman" w:eastAsia="Times New Roman" w:hAnsi="Times New Roman"/>
          <w:sz w:val="18"/>
          <w:szCs w:val="18"/>
          <w:color w:val="auto"/>
        </w:rPr>
        <w:t>Goodwill and other indefinite-lived intangible assets are tested for impairment annually and any time events occur or changes in circumstances indicate it is more likely than not the fair value of a reporting unit, or respective indefinite-lived intangible asset, is below its carrying value. Such events or changes in circumstances include, but are not limited to, changes in business climate, sustained declines in the price of our stock, or other factors resulting in lower cash flow related to such assets. The reporting unit valuations used to test goodwill and intangible assets for impairment are dependent on a number of significant estimates and assumptions, including macroeconomic conditions, market growth rates, competitive activities, cost containment, margin expansion and strategic business plans (inputs of which are categorized as Level 3 under the fair value hierarchy). Additionally, future changes in these assumptions and estimates with respect to long-term growth rates and discount rates or future cash flow projections, could result in significantly different estimates of the fair values.</w:t>
      </w:r>
    </w:p>
    <w:p>
      <w:pPr>
        <w:spacing w:after="0" w:line="219" w:lineRule="exact"/>
        <w:rPr>
          <w:sz w:val="20"/>
          <w:szCs w:val="20"/>
          <w:color w:val="auto"/>
        </w:rPr>
      </w:pPr>
    </w:p>
    <w:p>
      <w:pPr>
        <w:ind w:firstLine="405"/>
        <w:spacing w:after="0" w:line="256" w:lineRule="auto"/>
        <w:rPr>
          <w:sz w:val="20"/>
          <w:szCs w:val="20"/>
          <w:color w:val="auto"/>
        </w:rPr>
      </w:pPr>
      <w:r>
        <w:rPr>
          <w:rFonts w:ascii="Times New Roman" w:cs="Times New Roman" w:eastAsia="Times New Roman" w:hAnsi="Times New Roman"/>
          <w:sz w:val="18"/>
          <w:szCs w:val="18"/>
          <w:color w:val="auto"/>
        </w:rPr>
        <w:t>Our fourth quarter 2024 annual goodwill impairment test indicated that the fair value of our Local Media reporting unit exceeded its carrying value by more than 20% and that the fair value of our Scripps Networks reporting unit exceeded its carrying value by 1.3%. Given that the fair value of the Scripps Networks reporting unit currently approximates carrying value, this reporting unit is more sensitive to changes in assumptions regarding its fair value. While we believe the estimates and judgments used in determining the fair values were appropriate, these estimates of fair value assume certain levels of growth for the business, which, if not achieved, could impact the fair value and possibly result in an impairment of the goodwill in future periods. For example, a 50 basis point increase in the discount rate would reduce the fair value of the Scripps Networks reporting unit by approximately $110 million.</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238"/>
        </w:trPr>
        <w:tc>
          <w:tcPr>
            <w:tcW w:w="81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7. Long-Term Debt</w:t>
            </w:r>
          </w:p>
        </w:tc>
        <w:tc>
          <w:tcPr>
            <w:tcW w:w="2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392"/>
        </w:trPr>
        <w:tc>
          <w:tcPr>
            <w:tcW w:w="818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Long-term debt consisted of the following:</w:t>
            </w: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97"/>
        </w:trPr>
        <w:tc>
          <w:tcPr>
            <w:tcW w:w="8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As of</w:t>
            </w:r>
          </w:p>
        </w:tc>
        <w:tc>
          <w:tcPr>
            <w:tcW w:w="160" w:type="dxa"/>
            <w:vAlign w:val="bottom"/>
          </w:tcPr>
          <w:p>
            <w:pPr>
              <w:spacing w:after="0"/>
              <w:rPr>
                <w:sz w:val="24"/>
                <w:szCs w:val="24"/>
                <w:color w:val="auto"/>
              </w:rPr>
            </w:pPr>
          </w:p>
        </w:tc>
        <w:tc>
          <w:tcPr>
            <w:tcW w:w="132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As of</w:t>
            </w:r>
          </w:p>
        </w:tc>
      </w:tr>
      <w:tr>
        <w:trPr>
          <w:trHeight w:val="184"/>
        </w:trPr>
        <w:tc>
          <w:tcPr>
            <w:tcW w:w="8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20" w:type="dxa"/>
            <w:vAlign w:val="bottom"/>
            <w:gridSpan w:val="2"/>
          </w:tcPr>
          <w:p>
            <w:pPr>
              <w:ind w:left="160"/>
              <w:spacing w:after="0" w:line="184" w:lineRule="exact"/>
              <w:rPr>
                <w:sz w:val="20"/>
                <w:szCs w:val="20"/>
                <w:color w:val="auto"/>
              </w:rPr>
            </w:pPr>
            <w:r>
              <w:rPr>
                <w:rFonts w:ascii="Times New Roman" w:cs="Times New Roman" w:eastAsia="Times New Roman" w:hAnsi="Times New Roman"/>
                <w:sz w:val="18"/>
                <w:szCs w:val="18"/>
                <w:color w:val="auto"/>
              </w:rPr>
              <w:t>June 30,</w:t>
            </w:r>
          </w:p>
        </w:tc>
        <w:tc>
          <w:tcPr>
            <w:tcW w:w="160" w:type="dxa"/>
            <w:vAlign w:val="bottom"/>
          </w:tcPr>
          <w:p>
            <w:pPr>
              <w:spacing w:after="0"/>
              <w:rPr>
                <w:sz w:val="16"/>
                <w:szCs w:val="16"/>
                <w:color w:val="auto"/>
              </w:rPr>
            </w:pPr>
          </w:p>
        </w:tc>
        <w:tc>
          <w:tcPr>
            <w:tcW w:w="1320" w:type="dxa"/>
            <w:vAlign w:val="bottom"/>
          </w:tcPr>
          <w:p>
            <w:pPr>
              <w:jc w:val="right"/>
              <w:ind w:right="170"/>
              <w:spacing w:after="0" w:line="184" w:lineRule="exact"/>
              <w:rPr>
                <w:sz w:val="20"/>
                <w:szCs w:val="20"/>
                <w:color w:val="auto"/>
              </w:rPr>
            </w:pPr>
            <w:r>
              <w:rPr>
                <w:rFonts w:ascii="Times New Roman" w:cs="Times New Roman" w:eastAsia="Times New Roman" w:hAnsi="Times New Roman"/>
                <w:sz w:val="18"/>
                <w:szCs w:val="18"/>
                <w:color w:val="auto"/>
              </w:rPr>
              <w:t>December 31,</w:t>
            </w:r>
          </w:p>
        </w:tc>
      </w:tr>
      <w:tr>
        <w:trPr>
          <w:trHeight w:val="234"/>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260" w:type="dxa"/>
            <w:vAlign w:val="bottom"/>
          </w:tcPr>
          <w:p>
            <w:pPr>
              <w:spacing w:after="0"/>
              <w:rPr>
                <w:sz w:val="20"/>
                <w:szCs w:val="20"/>
                <w:color w:val="auto"/>
              </w:rPr>
            </w:pPr>
          </w:p>
        </w:tc>
        <w:tc>
          <w:tcPr>
            <w:tcW w:w="122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2024</w:t>
            </w:r>
          </w:p>
        </w:tc>
      </w:tr>
      <w:tr>
        <w:trPr>
          <w:trHeight w:val="34"/>
        </w:trPr>
        <w:tc>
          <w:tcPr>
            <w:tcW w:w="80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top w:val="single" w:sz="8" w:color="auto"/>
            </w:tcBorders>
          </w:tcPr>
          <w:p>
            <w:pPr>
              <w:spacing w:after="0"/>
              <w:rPr>
                <w:sz w:val="2"/>
                <w:szCs w:val="2"/>
                <w:color w:val="auto"/>
              </w:rPr>
            </w:pPr>
          </w:p>
        </w:tc>
        <w:tc>
          <w:tcPr>
            <w:tcW w:w="122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1320" w:type="dxa"/>
            <w:vAlign w:val="bottom"/>
            <w:tcBorders>
              <w:top w:val="single" w:sz="8" w:color="auto"/>
            </w:tcBorders>
          </w:tcPr>
          <w:p>
            <w:pPr>
              <w:spacing w:after="0"/>
              <w:rPr>
                <w:sz w:val="2"/>
                <w:szCs w:val="2"/>
                <w:color w:val="auto"/>
              </w:rPr>
            </w:pPr>
          </w:p>
        </w:tc>
      </w:tr>
      <w:tr>
        <w:trPr>
          <w:trHeight w:val="230"/>
        </w:trPr>
        <w:tc>
          <w:tcPr>
            <w:tcW w:w="8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receivable securitization facility</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365,500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Revolving credit facilities</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70,000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Senior secured notes, due in January 2029</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523,356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523,356</w:t>
            </w:r>
          </w:p>
        </w:tc>
      </w:tr>
      <w:tr>
        <w:trPr>
          <w:trHeight w:val="230"/>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Senior unsecured notes, due in July 2027</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425,667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425,667</w:t>
            </w:r>
          </w:p>
        </w:tc>
      </w:tr>
      <w:tr>
        <w:trPr>
          <w:trHeight w:val="229"/>
        </w:trPr>
        <w:tc>
          <w:tcPr>
            <w:tcW w:w="8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Senior unsecured notes, due in January 2031</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392,071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392,071</w:t>
            </w:r>
          </w:p>
        </w:tc>
      </w:tr>
      <w:tr>
        <w:trPr>
          <w:trHeight w:val="230"/>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Term loan, due in June 2028</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543,852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Term loan, due in November 2029</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339,304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Term loan, due in May 2026</w:t>
            </w:r>
          </w:p>
        </w:tc>
        <w:tc>
          <w:tcPr>
            <w:tcW w:w="26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721,213</w:t>
            </w:r>
          </w:p>
        </w:tc>
      </w:tr>
      <w:tr>
        <w:trPr>
          <w:trHeight w:val="230"/>
        </w:trPr>
        <w:tc>
          <w:tcPr>
            <w:tcW w:w="8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Term loan, due in January 2028</w:t>
            </w:r>
          </w:p>
        </w:tc>
        <w:tc>
          <w:tcPr>
            <w:tcW w:w="26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543,000</w:t>
            </w:r>
          </w:p>
        </w:tc>
      </w:tr>
      <w:tr>
        <w:trPr>
          <w:trHeight w:val="223"/>
        </w:trPr>
        <w:tc>
          <w:tcPr>
            <w:tcW w:w="81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Total outstanding principal</w:t>
            </w:r>
          </w:p>
        </w:tc>
        <w:tc>
          <w:tcPr>
            <w:tcW w:w="26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2,659,750</w:t>
            </w: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2,605,307</w:t>
            </w:r>
          </w:p>
        </w:tc>
      </w:tr>
      <w:tr>
        <w:trPr>
          <w:trHeight w:val="230"/>
        </w:trPr>
        <w:tc>
          <w:tcPr>
            <w:tcW w:w="8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Debt issuance costs and issuance discounts</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(36,046)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(29,135)</w:t>
            </w:r>
          </w:p>
        </w:tc>
      </w:tr>
      <w:tr>
        <w:trPr>
          <w:trHeight w:val="229"/>
        </w:trPr>
        <w:tc>
          <w:tcPr>
            <w:tcW w:w="81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Less: Current portion</w:t>
            </w:r>
          </w:p>
        </w:tc>
        <w:tc>
          <w:tcPr>
            <w:tcW w:w="2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(78,854)</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(15,612)</w:t>
            </w:r>
          </w:p>
        </w:tc>
      </w:tr>
      <w:tr>
        <w:trPr>
          <w:trHeight w:val="248"/>
        </w:trPr>
        <w:tc>
          <w:tcPr>
            <w:tcW w:w="818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Net carrying value of long-term debt</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2,544,850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2,560,560</w:t>
            </w:r>
          </w:p>
        </w:tc>
      </w:tr>
      <w:tr>
        <w:trPr>
          <w:trHeight w:val="20"/>
        </w:trPr>
        <w:tc>
          <w:tcPr>
            <w:tcW w:w="80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8180" w:type="dxa"/>
            <w:vAlign w:val="bottom"/>
            <w:gridSpan w:val="2"/>
          </w:tcPr>
          <w:p>
            <w:pPr>
              <w:ind w:left="20"/>
              <w:spacing w:after="0" w:line="203" w:lineRule="exact"/>
              <w:rPr>
                <w:sz w:val="20"/>
                <w:szCs w:val="20"/>
                <w:color w:val="auto"/>
              </w:rPr>
            </w:pPr>
            <w:r>
              <w:rPr>
                <w:rFonts w:ascii="Times New Roman" w:cs="Times New Roman" w:eastAsia="Times New Roman" w:hAnsi="Times New Roman"/>
                <w:sz w:val="18"/>
                <w:szCs w:val="18"/>
                <w:color w:val="auto"/>
              </w:rPr>
              <w:t>Fair value of long-term debt *</w:t>
            </w:r>
          </w:p>
        </w:tc>
        <w:tc>
          <w:tcPr>
            <w:tcW w:w="260" w:type="dxa"/>
            <w:vAlign w:val="bottom"/>
            <w:tcBorders>
              <w:bottom w:val="single" w:sz="8" w:color="auto"/>
            </w:tcBorders>
          </w:tcPr>
          <w:p>
            <w:pPr>
              <w:jc w:val="right"/>
              <w:ind w:right="5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2,378,968</w:t>
            </w: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2,112,999</w:t>
            </w:r>
          </w:p>
        </w:tc>
      </w:tr>
      <w:tr>
        <w:trPr>
          <w:trHeight w:val="20"/>
        </w:trPr>
        <w:tc>
          <w:tcPr>
            <w:tcW w:w="8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ind w:right="680" w:firstLine="8"/>
        <w:spacing w:after="0" w:line="282" w:lineRule="auto"/>
        <w:tabs>
          <w:tab w:leader="none" w:pos="13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fair values of debt are estimated based on either quoted private market transactions or observable estimates provided by third party financial professionals, and as such, are classified within Level 2 of the fair value hierarchy.</w:t>
      </w:r>
    </w:p>
    <w:p>
      <w:pPr>
        <w:spacing w:after="0" w:line="189" w:lineRule="exact"/>
        <w:rPr>
          <w:sz w:val="20"/>
          <w:szCs w:val="20"/>
          <w:color w:val="auto"/>
        </w:rPr>
      </w:pPr>
    </w:p>
    <w:p>
      <w:pPr>
        <w:ind w:right="280" w:firstLine="405"/>
        <w:spacing w:after="0" w:line="282" w:lineRule="auto"/>
        <w:rPr>
          <w:sz w:val="20"/>
          <w:szCs w:val="20"/>
          <w:color w:val="auto"/>
        </w:rPr>
      </w:pPr>
      <w:r>
        <w:rPr>
          <w:rFonts w:ascii="Times New Roman" w:cs="Times New Roman" w:eastAsia="Times New Roman" w:hAnsi="Times New Roman"/>
          <w:sz w:val="18"/>
          <w:szCs w:val="18"/>
          <w:color w:val="auto"/>
        </w:rPr>
        <w:t>On April 10, 2025, we completed a series of previously announced refinancing transactions. Following completion of these transactions, our long-term debt is summarized below.</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 Securitization Facility</w:t>
      </w:r>
    </w:p>
    <w:p>
      <w:pPr>
        <w:spacing w:after="0" w:line="256" w:lineRule="exact"/>
        <w:rPr>
          <w:sz w:val="20"/>
          <w:szCs w:val="20"/>
          <w:color w:val="auto"/>
        </w:rPr>
      </w:pPr>
    </w:p>
    <w:p>
      <w:pPr>
        <w:ind w:firstLine="405"/>
        <w:spacing w:after="0" w:line="268" w:lineRule="auto"/>
        <w:rPr>
          <w:sz w:val="20"/>
          <w:szCs w:val="20"/>
          <w:color w:val="auto"/>
        </w:rPr>
      </w:pPr>
      <w:r>
        <w:rPr>
          <w:rFonts w:ascii="Times New Roman" w:cs="Times New Roman" w:eastAsia="Times New Roman" w:hAnsi="Times New Roman"/>
          <w:sz w:val="17"/>
          <w:szCs w:val="17"/>
          <w:color w:val="auto"/>
        </w:rPr>
        <w:t>We entered into a new three-year accounts receivable securitization facility, scheduled to terminate April 10, 2028, with aggregate commitments of up to $450 million. Under the securitization facility, we sell eligible accounts receivable balances to our wholly owned special purpose entities, Scripps SPV Midco, LLC and Scripps SPV, LLC (the “Accounts Receivable Securitization Special Purpose Subsidiaries”). The Accounts Receivable Securitization Special Purpose Subsidiaries are consolidated subsidiaries of Scripps and use the accounts receivable balances to collateralize loans obtained from financial institutions. The facility is subject to interest charges, at the one-month term secured overnight financing rate ("SOFR"), subject to a 1.00% floor with a blended spread of 3.45% based on customary assumptions. We recognized approximately $6.0 million of deferred financing costs related to the securitization facility. The securitization facility is accounted for as a collateralized financing activity, rather than a sale of assets, and therefore: (i) accounts receivable balances pledged as collateral are presented as assets and borrowings are presented as liabilities on our Condensed Consolidated Balance Sheets,</w:t>
      </w:r>
    </w:p>
    <w:p>
      <w:pPr>
        <w:ind w:right="60" w:firstLine="8"/>
        <w:spacing w:after="0" w:line="252" w:lineRule="auto"/>
        <w:tabs>
          <w:tab w:leader="none" w:pos="26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Condensed Consolidated Statements of Operations reflect the associated charges for bad debt expense related to pledged accounts receivable, as well as interest expense associated with the collateralized borrowings and (iii) receipts from customers related to the underlying accounts receivable are reflected as operating cash flows and borrowings and repayments under the collateralized loans are reflected as financing cash flows within our Condensed Consolidated Statements of Cash Flows. Scripps retains the responsibility of servicing the accounts receivable balances pledged as collateral for the securitization facility and also provides a performance guaranty. The maximum availability allowed is limited by our eligible accounts receivable balances, as defined under the terms of the securitization facility. As of June 30, 2025, the maximum availability allowed and amount outstanding under the securitization facility was $366 million. The interest rate for the securitization facility was 7.76% as of June 30, 2025.</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Scripps Senior Secured Credit Agreement</w:t>
      </w:r>
    </w:p>
    <w:p>
      <w:pPr>
        <w:spacing w:after="0" w:line="256" w:lineRule="exact"/>
        <w:rPr>
          <w:sz w:val="20"/>
          <w:szCs w:val="20"/>
          <w:color w:val="auto"/>
        </w:rPr>
      </w:pPr>
    </w:p>
    <w:p>
      <w:pPr>
        <w:ind w:right="60" w:firstLine="405"/>
        <w:spacing w:after="0" w:line="253" w:lineRule="auto"/>
        <w:rPr>
          <w:sz w:val="20"/>
          <w:szCs w:val="20"/>
          <w:color w:val="auto"/>
        </w:rPr>
      </w:pPr>
      <w:r>
        <w:rPr>
          <w:rFonts w:ascii="Times New Roman" w:cs="Times New Roman" w:eastAsia="Times New Roman" w:hAnsi="Times New Roman"/>
          <w:sz w:val="18"/>
          <w:szCs w:val="18"/>
          <w:color w:val="auto"/>
        </w:rPr>
        <w:t>We replaced our $585 million revolving credit facility with a new revolving facility with aggregate commitments of up to $208 million due July 2027 and a new non-extended revolving credit facility with aggregate commitments of up to $70.0 million due January 2026. The previous revolving credit facility was due to mature on January 7, 2026. Commitment fees of 0.30% to 0.50% per annum, based on our leverage ratio, of the total unused commitment are payable under the revolving credit facility. For the new $208 million revolving credit facility, interest is payable at a rate based on SOFR, plus a margin of 5.50%. For the new non-extended revolving credit facility, interest is payable at a rate based on SOFR, plus a margin based on our leverage ratio, ranging from 1.75% to 2.75%. We recognized approximately $19.6 million of deferred financing costs related to the new revolving credit facilities. As of June 30, 2025, we had $70.0 million outstanding under our revolving credit facilities at an interest rate of 6.93%. The weighted-average interest rate during the periods in which we had a drawn revolver balance was 7.73% and 8.19% for the six months ended June 30, 2025 and 2024, respectively. As of June 30, 2025 and December 31, 2024, we had outstanding letters of credit totaling $8.9 million and $6.9 million, respectively, under our revolving credit facilities.</w:t>
      </w:r>
    </w:p>
    <w:p>
      <w:pPr>
        <w:spacing w:after="0" w:line="221" w:lineRule="exact"/>
        <w:rPr>
          <w:sz w:val="20"/>
          <w:szCs w:val="20"/>
          <w:color w:val="auto"/>
        </w:rPr>
      </w:pPr>
    </w:p>
    <w:p>
      <w:pPr>
        <w:ind w:right="120" w:firstLine="445"/>
        <w:spacing w:after="0" w:line="258" w:lineRule="auto"/>
        <w:rPr>
          <w:sz w:val="20"/>
          <w:szCs w:val="20"/>
          <w:color w:val="auto"/>
        </w:rPr>
      </w:pPr>
      <w:r>
        <w:rPr>
          <w:rFonts w:ascii="Times New Roman" w:cs="Times New Roman" w:eastAsia="Times New Roman" w:hAnsi="Times New Roman"/>
          <w:sz w:val="18"/>
          <w:szCs w:val="18"/>
          <w:color w:val="auto"/>
        </w:rPr>
        <w:t>We issued a new $545 million tranche B-2 term loan ("June 2028 term loan") that matures in June 2028. Interest is currently payable on the June 2028 term loan at a rate based on SOFR, plus a margin of 5.75%. The June 2028 term loan requires annual principal payments of $5.5 million. Deferred financing costs and original issuance discount totaled approximately $14.3 million with this term loan, which are being amortized over the life of the loan. As of June 30, 2025, the interest rate on the June 2028 term loan was 10.18%. For the period of April 10, 2025 through June 30, 2025, the weighted-average interest rate on the June 2028 term loan was 10.18%.</w:t>
      </w:r>
    </w:p>
    <w:p>
      <w:pPr>
        <w:spacing w:after="0" w:line="210" w:lineRule="exact"/>
        <w:rPr>
          <w:sz w:val="20"/>
          <w:szCs w:val="20"/>
          <w:color w:val="auto"/>
        </w:rPr>
      </w:pPr>
    </w:p>
    <w:p>
      <w:pPr>
        <w:ind w:right="40" w:firstLine="445"/>
        <w:spacing w:after="0" w:line="258" w:lineRule="auto"/>
        <w:rPr>
          <w:sz w:val="20"/>
          <w:szCs w:val="20"/>
          <w:color w:val="auto"/>
        </w:rPr>
      </w:pPr>
      <w:r>
        <w:rPr>
          <w:rFonts w:ascii="Times New Roman" w:cs="Times New Roman" w:eastAsia="Times New Roman" w:hAnsi="Times New Roman"/>
          <w:sz w:val="18"/>
          <w:szCs w:val="18"/>
          <w:color w:val="auto"/>
        </w:rPr>
        <w:t>We also issued a new $340 million tranche B-3 term loan ("November 2029 term loan") that matures in November 2029. Interest is currently payable on the November 2029 term loan at a rate based on SOFR, plus a margin of 3.35%. The November 2029 term loan requires annual principal payments of $3.4 million. Deferred financing costs and original issuance discount totaled approximately $8.9 million with this term loan, which are being amortized over the life of the loan. As of June 30, 2025, the interest rate on the November 2029 term loan was 7.78%. For the period of April 10, 2025 through June 30, 2025, the weighted-average interest rate on the November 2029 term loan was 7.78%.</w:t>
      </w:r>
    </w:p>
    <w:p>
      <w:pPr>
        <w:sectPr>
          <w:pgSz w:w="11900" w:h="16838" w:orient="portrait"/>
          <w:cols w:equalWidth="0" w:num="1">
            <w:col w:w="11240"/>
          </w:cols>
          <w:pgMar w:left="320" w:top="887" w:right="339" w:bottom="0" w:gutter="0" w:footer="0" w:header="0"/>
        </w:sectPr>
      </w:pPr>
    </w:p>
    <w:bookmarkStart w:id="20" w:name="page21"/>
    <w:bookmarkEnd w:id="20"/>
    <w:p>
      <w:pPr>
        <w:ind w:right="380" w:firstLine="445"/>
        <w:spacing w:after="0" w:line="282" w:lineRule="auto"/>
        <w:rPr>
          <w:sz w:val="20"/>
          <w:szCs w:val="20"/>
          <w:color w:val="auto"/>
        </w:rPr>
      </w:pPr>
      <w:r>
        <w:rPr>
          <w:rFonts w:ascii="Times New Roman" w:cs="Times New Roman" w:eastAsia="Times New Roman" w:hAnsi="Times New Roman"/>
          <w:sz w:val="18"/>
          <w:szCs w:val="18"/>
          <w:color w:val="auto"/>
        </w:rPr>
        <w:t>We incurred $38.1 million of non-capitalized transaction costs related to the April 2025 debt refinancing. These costs are reflected in the caption "Other financing transaction costs" in our Condensed Consolidated Statements of Operations.</w:t>
      </w:r>
    </w:p>
    <w:p>
      <w:pPr>
        <w:spacing w:after="0" w:line="189" w:lineRule="exact"/>
        <w:rPr>
          <w:sz w:val="20"/>
          <w:szCs w:val="20"/>
          <w:color w:val="auto"/>
        </w:rPr>
      </w:pPr>
    </w:p>
    <w:p>
      <w:pPr>
        <w:ind w:right="20" w:firstLine="405"/>
        <w:spacing w:after="0" w:line="261" w:lineRule="auto"/>
        <w:rPr>
          <w:sz w:val="20"/>
          <w:szCs w:val="20"/>
          <w:color w:val="auto"/>
        </w:rPr>
      </w:pPr>
      <w:r>
        <w:rPr>
          <w:rFonts w:ascii="Times New Roman" w:cs="Times New Roman" w:eastAsia="Times New Roman" w:hAnsi="Times New Roman"/>
          <w:sz w:val="18"/>
          <w:szCs w:val="18"/>
          <w:color w:val="auto"/>
        </w:rPr>
        <w:t>With the resulting debt proceeds generated from the April 10, 2025 refinancing transactions, we paid off the remaining $719 million balance for our term loan that was due to mature in May 2026 and paid off the remaining $541 million balance for our term loan that was due to mature in January 2028. In connection with the retirement of these term loans, we wrote-off $5.6 million of deferred financing costs to interest expense and also incurred a $3.0 million loss on the extinguishment of debt.</w:t>
      </w:r>
    </w:p>
    <w:p>
      <w:pPr>
        <w:spacing w:after="0" w:line="207" w:lineRule="exact"/>
        <w:rPr>
          <w:sz w:val="20"/>
          <w:szCs w:val="20"/>
          <w:color w:val="auto"/>
        </w:rPr>
      </w:pPr>
    </w:p>
    <w:p>
      <w:pPr>
        <w:ind w:firstLine="405"/>
        <w:spacing w:after="0" w:line="266" w:lineRule="auto"/>
        <w:rPr>
          <w:sz w:val="20"/>
          <w:szCs w:val="20"/>
          <w:color w:val="auto"/>
        </w:rPr>
      </w:pPr>
      <w:r>
        <w:rPr>
          <w:rFonts w:ascii="Times New Roman" w:cs="Times New Roman" w:eastAsia="Times New Roman" w:hAnsi="Times New Roman"/>
          <w:sz w:val="18"/>
          <w:szCs w:val="18"/>
          <w:color w:val="auto"/>
        </w:rPr>
        <w:t>The weighted-average interest rate on the May 2026 term loan was 7.01% for the period of January 1, 2025 through April 10, 2025, and 8.00% for the six months ended June 30, 2024. The weighted-average interest rate on the January 2028 term loan was 7.44% for the period of January 1, 2025 through April 10, 2025, and 8.44% for the six months ended June 30, 2024.</w:t>
      </w:r>
    </w:p>
    <w:p>
      <w:pPr>
        <w:spacing w:after="0" w:line="203" w:lineRule="exact"/>
        <w:rPr>
          <w:sz w:val="20"/>
          <w:szCs w:val="20"/>
          <w:color w:val="auto"/>
        </w:rPr>
      </w:pPr>
    </w:p>
    <w:p>
      <w:pPr>
        <w:ind w:right="60" w:firstLine="445"/>
        <w:spacing w:after="0" w:line="268" w:lineRule="auto"/>
        <w:rPr>
          <w:sz w:val="20"/>
          <w:szCs w:val="20"/>
          <w:color w:val="auto"/>
        </w:rPr>
      </w:pPr>
      <w:r>
        <w:rPr>
          <w:rFonts w:ascii="Times New Roman" w:cs="Times New Roman" w:eastAsia="Times New Roman" w:hAnsi="Times New Roman"/>
          <w:sz w:val="17"/>
          <w:szCs w:val="17"/>
          <w:color w:val="auto"/>
        </w:rPr>
        <w:t>The credit agreement contains covenants that, among other things, limit our ability to incur additional debt and provides for restrictions on certain payments (dividends and share repurchases). Additionally, we must be in compliance with certain leverage ratios in order to proceed with acquisitions. Our credit agreement also includes a provision that in certain circumstances we must use a portion of excess cash flow to repay debt. We granted the lenders pledges of our equity interests in our subsidiaries and security interests in substantially all other personal property, including cash and equipment. The credit agreement also contains covenants to comply with a maximum first lien net leverage ratio. For the new revolving credit facility, we must comply with a maximum first lien net leverage ratio of 3.50 to 1.0 through September 30, 2026, at which point it steps down to 3.25 times for the fiscal quarter ended December 31, 2026, and thereafter. For the non-extended revolving credit facility, we must comply with a maximum first lien net leverage ratio of</w:t>
      </w:r>
    </w:p>
    <w:p>
      <w:pPr>
        <w:spacing w:after="0" w:line="2" w:lineRule="exact"/>
        <w:rPr>
          <w:sz w:val="20"/>
          <w:szCs w:val="20"/>
          <w:color w:val="auto"/>
        </w:rPr>
      </w:pPr>
    </w:p>
    <w:p>
      <w:pPr>
        <w:ind w:right="220"/>
        <w:spacing w:after="0" w:line="260" w:lineRule="auto"/>
        <w:rPr>
          <w:sz w:val="20"/>
          <w:szCs w:val="20"/>
          <w:color w:val="auto"/>
        </w:rPr>
      </w:pPr>
      <w:r>
        <w:rPr>
          <w:rFonts w:ascii="Times New Roman" w:cs="Times New Roman" w:eastAsia="Times New Roman" w:hAnsi="Times New Roman"/>
          <w:sz w:val="18"/>
          <w:szCs w:val="18"/>
          <w:color w:val="auto"/>
        </w:rPr>
        <w:t>4.75 to 1.0 through September 30, 2025, at which point it steps down to 4.50 times for the fiscal quarter ending December 31, 2025, and thereafter. As of June 30, 2025, we were in compliance with our financial covenants.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2029 Senior Secured Notes</w:t>
      </w:r>
    </w:p>
    <w:p>
      <w:pPr>
        <w:spacing w:after="0" w:line="256" w:lineRule="exact"/>
        <w:rPr>
          <w:sz w:val="20"/>
          <w:szCs w:val="20"/>
          <w:color w:val="auto"/>
        </w:rPr>
      </w:pPr>
    </w:p>
    <w:p>
      <w:pPr>
        <w:ind w:firstLine="405"/>
        <w:spacing w:after="0" w:line="254" w:lineRule="auto"/>
        <w:rPr>
          <w:sz w:val="20"/>
          <w:szCs w:val="20"/>
          <w:color w:val="auto"/>
        </w:rPr>
      </w:pPr>
      <w:r>
        <w:rPr>
          <w:rFonts w:ascii="Times New Roman" w:cs="Times New Roman" w:eastAsia="Times New Roman" w:hAnsi="Times New Roman"/>
          <w:sz w:val="18"/>
          <w:szCs w:val="18"/>
          <w:color w:val="auto"/>
        </w:rPr>
        <w:t>On December 30, 2020, we issued $550 million of senior secured notes (the "2029 Senior Notes"), which bear interest at a rate of 3.875% per annum and mature on January 15, 2029. The 2029 Senior Notes were priced at 100% of par value and interest is payable semi-annually on January 15 and July 15. Prior to January 15, 2026, we may redeem the notes, in whole or in part, at applicable redemption prices noted in the indenture agreement. If we sell certain of our assets or have a change of control, the holders of the 2029 Senior Notes may require us to repurchase some or all of the notes. Our credit agreement also includes a provision that in certain circumstances we must use a portion of excess cash flow to repay debt. The 2029 Senior Notes are guaranteed by us and the majority of our subsidiaries and are secured on equal footing with the obligations under the Senior Secured Credit Agreement. The notes are secured, on a first lien basis, from pledges of equity interests in our subsidiaries and by substantially all of the existing and future assets of Scripps. The 2029 Senior Notes contain covenants with which we must comply that are typical for borrowing transactions of this nature.</w:t>
      </w:r>
    </w:p>
    <w:p>
      <w:pPr>
        <w:spacing w:after="0" w:line="219" w:lineRule="exact"/>
        <w:rPr>
          <w:sz w:val="20"/>
          <w:szCs w:val="20"/>
          <w:color w:val="auto"/>
        </w:rPr>
      </w:pPr>
    </w:p>
    <w:p>
      <w:pPr>
        <w:ind w:right="500" w:firstLine="405"/>
        <w:spacing w:after="0" w:line="282" w:lineRule="auto"/>
        <w:rPr>
          <w:sz w:val="20"/>
          <w:szCs w:val="20"/>
          <w:color w:val="auto"/>
        </w:rPr>
      </w:pPr>
      <w:r>
        <w:rPr>
          <w:rFonts w:ascii="Times New Roman" w:cs="Times New Roman" w:eastAsia="Times New Roman" w:hAnsi="Times New Roman"/>
          <w:sz w:val="18"/>
          <w:szCs w:val="18"/>
          <w:color w:val="auto"/>
        </w:rPr>
        <w:t>We incurred approximately $13.8 million of deferred financing costs in connection with the issuance of the 2029 Senior Notes, which are being amortized over the life of the notes.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2027 Senior Unsecured Notes</w:t>
      </w:r>
    </w:p>
    <w:p>
      <w:pPr>
        <w:spacing w:after="0" w:line="256" w:lineRule="exact"/>
        <w:rPr>
          <w:sz w:val="20"/>
          <w:szCs w:val="20"/>
          <w:color w:val="auto"/>
        </w:rPr>
      </w:pPr>
    </w:p>
    <w:p>
      <w:pPr>
        <w:ind w:right="180" w:firstLine="405"/>
        <w:spacing w:after="0" w:line="256" w:lineRule="auto"/>
        <w:rPr>
          <w:sz w:val="20"/>
          <w:szCs w:val="20"/>
          <w:color w:val="auto"/>
        </w:rPr>
      </w:pPr>
      <w:r>
        <w:rPr>
          <w:rFonts w:ascii="Times New Roman" w:cs="Times New Roman" w:eastAsia="Times New Roman" w:hAnsi="Times New Roman"/>
          <w:sz w:val="18"/>
          <w:szCs w:val="18"/>
          <w:color w:val="auto"/>
        </w:rPr>
        <w:t>On July 26, 2019, we issued $500 million of senior unsecured notes, which bear interest at a rate of 5.875% per annum and mature on July 15, 2027 ("the 2027 Senior Notes"). The 2027 Senior Notes were priced at 100% of par value and interest is payable semi-annually on July 15 and January 15. We may redeem the notes before July 15, 2025, in whole or in part, at applicable redemption prices noted in the indenture agreement. If we sell certain of our assets or have a change of control, the holders of the 2027 Senior Notes may require us to repurchase some or all of the notes. The 2027 Senior Notes are fully and unconditionally guaranteed on a senior unsecured basis by certain of our existing and future domestic restricted subsidiaries. The 2027 Senior Notes contain covenants with which we must comply that are typical for borrowing transactions of this nature.</w:t>
      </w:r>
    </w:p>
    <w:p>
      <w:pPr>
        <w:spacing w:after="0" w:line="214" w:lineRule="exact"/>
        <w:rPr>
          <w:sz w:val="20"/>
          <w:szCs w:val="20"/>
          <w:color w:val="auto"/>
        </w:rPr>
      </w:pPr>
    </w:p>
    <w:p>
      <w:pPr>
        <w:ind w:right="500" w:firstLine="405"/>
        <w:spacing w:after="0" w:line="282" w:lineRule="auto"/>
        <w:rPr>
          <w:sz w:val="20"/>
          <w:szCs w:val="20"/>
          <w:color w:val="auto"/>
        </w:rPr>
      </w:pPr>
      <w:r>
        <w:rPr>
          <w:rFonts w:ascii="Times New Roman" w:cs="Times New Roman" w:eastAsia="Times New Roman" w:hAnsi="Times New Roman"/>
          <w:sz w:val="18"/>
          <w:szCs w:val="18"/>
          <w:color w:val="auto"/>
        </w:rPr>
        <w:t>We incurred approximately $10.7 million of deferred financing costs in connection with the issuance of the 2027 Senior Notes, which are being amortized over the life of the notes.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2031 Senior Unsecured Notes</w:t>
      </w:r>
    </w:p>
    <w:p>
      <w:pPr>
        <w:spacing w:after="0" w:line="256" w:lineRule="exact"/>
        <w:rPr>
          <w:sz w:val="20"/>
          <w:szCs w:val="20"/>
          <w:color w:val="auto"/>
        </w:rPr>
      </w:pPr>
    </w:p>
    <w:p>
      <w:pPr>
        <w:ind w:right="20" w:firstLine="405"/>
        <w:spacing w:after="0" w:line="254" w:lineRule="auto"/>
        <w:rPr>
          <w:sz w:val="20"/>
          <w:szCs w:val="20"/>
          <w:color w:val="auto"/>
        </w:rPr>
      </w:pPr>
      <w:r>
        <w:rPr>
          <w:rFonts w:ascii="Times New Roman" w:cs="Times New Roman" w:eastAsia="Times New Roman" w:hAnsi="Times New Roman"/>
          <w:sz w:val="18"/>
          <w:szCs w:val="18"/>
          <w:color w:val="auto"/>
        </w:rPr>
        <w:t>On December 30, 2020, we issued $500 million of senior unsecured notes (the "2031 Senior Notes"), which bear interest at a rate of 5.375% per annum and mature on January 15, 2031. The 2031 Senior Notes were priced at 100% of par value and interest is payable semi-annually on January 15 and July 15. We may redeem some or all of the 2031 Senior Notes before January 15, 2026 at a redemption price of 100% of the principal amount, plus accrued and unpaid interest, if any, to the redemption date plus a "make whole" premium. On or after January 15, 2026 and before January 15, 2029, we may redeem the notes, in whole or in part, at applicable redemption prices noted in the indenture agreement. If we sell certain of our assets or have a change of control, the holders of the 2031 Senior Notes may require us to repurchase some or all of the notes. The 2031 Senior Notes are also guaranteed by us and the majority our subsidiaries. The 2031 Senior Notes contain covenants with which we must comply that are typical for borrowing transactions of this nature.</w:t>
      </w:r>
    </w:p>
    <w:p>
      <w:pPr>
        <w:spacing w:after="0" w:line="219" w:lineRule="exact"/>
        <w:rPr>
          <w:sz w:val="20"/>
          <w:szCs w:val="20"/>
          <w:color w:val="auto"/>
        </w:rPr>
      </w:pPr>
    </w:p>
    <w:p>
      <w:pPr>
        <w:ind w:right="500" w:firstLine="405"/>
        <w:spacing w:after="0" w:line="282" w:lineRule="auto"/>
        <w:rPr>
          <w:sz w:val="20"/>
          <w:szCs w:val="20"/>
          <w:color w:val="auto"/>
        </w:rPr>
      </w:pPr>
      <w:r>
        <w:rPr>
          <w:rFonts w:ascii="Times New Roman" w:cs="Times New Roman" w:eastAsia="Times New Roman" w:hAnsi="Times New Roman"/>
          <w:sz w:val="18"/>
          <w:szCs w:val="18"/>
          <w:color w:val="auto"/>
        </w:rPr>
        <w:t>We incurred approximately $12.5 million of deferred financing costs in connection with the issuance of the 2031 Senior Notes, which are being amortized over the life of the notes.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Debt Repurchase Authorization</w:t>
      </w:r>
    </w:p>
    <w:p>
      <w:pPr>
        <w:spacing w:after="0" w:line="256" w:lineRule="exact"/>
        <w:rPr>
          <w:sz w:val="20"/>
          <w:szCs w:val="20"/>
          <w:color w:val="auto"/>
        </w:rPr>
      </w:pPr>
    </w:p>
    <w:p>
      <w:pPr>
        <w:ind w:right="240" w:firstLine="405"/>
        <w:spacing w:after="0" w:line="266" w:lineRule="auto"/>
        <w:rPr>
          <w:sz w:val="20"/>
          <w:szCs w:val="20"/>
          <w:color w:val="auto"/>
        </w:rPr>
      </w:pPr>
      <w:r>
        <w:rPr>
          <w:rFonts w:ascii="Times New Roman" w:cs="Times New Roman" w:eastAsia="Times New Roman" w:hAnsi="Times New Roman"/>
          <w:sz w:val="18"/>
          <w:szCs w:val="18"/>
          <w:color w:val="auto"/>
        </w:rPr>
        <w:t>In February 2023, our Board of Directors provided a new debt repurchase authorization, pursuant to which we may reduce, through redemptions or open market purchases and retirement, a combination of the outstanding principal balance of our senior secured and senior unsecured notes. The authorization permits an aggregate principal amount reduction of up to $500 million and expires on March 1, 2026.</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Debt Transaction</w:t>
      </w:r>
    </w:p>
    <w:p>
      <w:pPr>
        <w:spacing w:after="0" w:line="256" w:lineRule="exact"/>
        <w:rPr>
          <w:sz w:val="20"/>
          <w:szCs w:val="20"/>
          <w:color w:val="auto"/>
        </w:rPr>
      </w:pPr>
    </w:p>
    <w:p>
      <w:pPr>
        <w:ind w:right="80" w:firstLine="405"/>
        <w:spacing w:after="0" w:line="266" w:lineRule="auto"/>
        <w:rPr>
          <w:sz w:val="20"/>
          <w:szCs w:val="20"/>
          <w:color w:val="auto"/>
        </w:rPr>
      </w:pPr>
      <w:r>
        <w:rPr>
          <w:rFonts w:ascii="Times New Roman" w:cs="Times New Roman" w:eastAsia="Times New Roman" w:hAnsi="Times New Roman"/>
          <w:sz w:val="18"/>
          <w:szCs w:val="18"/>
          <w:color w:val="auto"/>
        </w:rPr>
        <w:t>On August 6, 2025, we issued $750 million of senior secured second lien notes (the "2030 Senior Notes"), which bear interest at a rate of 9.875% per annum and mature on August 15, 2030. The 2030 Senior Notes were priced at 99.509% of par value and interest is payable semi-annually on August 15 and February 15.</w:t>
      </w:r>
    </w:p>
    <w:p>
      <w:pPr>
        <w:sectPr>
          <w:pgSz w:w="11900" w:h="16838" w:orient="portrait"/>
          <w:cols w:equalWidth="0" w:num="1">
            <w:col w:w="11240"/>
          </w:cols>
          <w:pgMar w:left="320" w:top="121" w:right="339" w:bottom="0" w:gutter="0" w:footer="0" w:header="0"/>
        </w:sectPr>
      </w:pPr>
    </w:p>
    <w:bookmarkStart w:id="21" w:name="page22"/>
    <w:bookmarkEnd w:id="21"/>
    <w:p>
      <w:pPr>
        <w:ind w:right="540" w:firstLine="405"/>
        <w:spacing w:after="0" w:line="261" w:lineRule="auto"/>
        <w:rPr>
          <w:sz w:val="20"/>
          <w:szCs w:val="20"/>
          <w:color w:val="auto"/>
        </w:rPr>
      </w:pPr>
      <w:r>
        <w:rPr>
          <w:rFonts w:ascii="Times New Roman" w:cs="Times New Roman" w:eastAsia="Times New Roman" w:hAnsi="Times New Roman"/>
          <w:sz w:val="18"/>
          <w:szCs w:val="18"/>
          <w:color w:val="auto"/>
        </w:rPr>
        <w:t>The proceeds from the 2030 Senior Notes were used to repay the remaining $426 million principal amount of the 2027 Senior Notes, provide a $205 million principal prepayment toward the June 2028 term loan, pay $89.7 million toward</w:t>
      </w:r>
    </w:p>
    <w:p>
      <w:pPr>
        <w:spacing w:after="0"/>
        <w:rPr>
          <w:sz w:val="20"/>
          <w:szCs w:val="20"/>
          <w:color w:val="auto"/>
        </w:rPr>
      </w:pPr>
      <w:r>
        <w:rPr>
          <w:rFonts w:ascii="Times New Roman" w:cs="Times New Roman" w:eastAsia="Times New Roman" w:hAnsi="Times New Roman"/>
          <w:sz w:val="18"/>
          <w:szCs w:val="18"/>
          <w:color w:val="auto"/>
        </w:rPr>
        <w:t>outstanding borrowings under our revolving credit facilities and pay related issuance costs and prepayment premiums related to the transaction.</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1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8. Other Liabilities</w:t>
            </w:r>
          </w:p>
        </w:tc>
        <w:tc>
          <w:tcPr>
            <w:tcW w:w="2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818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Other liabilities consisted of the following:</w:t>
            </w: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8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As of</w:t>
            </w:r>
          </w:p>
        </w:tc>
        <w:tc>
          <w:tcPr>
            <w:tcW w:w="160" w:type="dxa"/>
            <w:vAlign w:val="bottom"/>
          </w:tcPr>
          <w:p>
            <w:pPr>
              <w:spacing w:after="0"/>
              <w:rPr>
                <w:sz w:val="24"/>
                <w:szCs w:val="24"/>
                <w:color w:val="auto"/>
              </w:rPr>
            </w:pPr>
          </w:p>
        </w:tc>
        <w:tc>
          <w:tcPr>
            <w:tcW w:w="132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As of</w:t>
            </w:r>
          </w:p>
        </w:tc>
        <w:tc>
          <w:tcPr>
            <w:tcW w:w="0" w:type="dxa"/>
            <w:vAlign w:val="bottom"/>
          </w:tcPr>
          <w:p>
            <w:pPr>
              <w:spacing w:after="0"/>
              <w:rPr>
                <w:sz w:val="1"/>
                <w:szCs w:val="1"/>
                <w:color w:val="auto"/>
              </w:rPr>
            </w:pPr>
          </w:p>
        </w:tc>
      </w:tr>
      <w:tr>
        <w:trPr>
          <w:trHeight w:val="184"/>
        </w:trPr>
        <w:tc>
          <w:tcPr>
            <w:tcW w:w="8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20" w:type="dxa"/>
            <w:vAlign w:val="bottom"/>
            <w:gridSpan w:val="2"/>
          </w:tcPr>
          <w:p>
            <w:pPr>
              <w:ind w:left="160"/>
              <w:spacing w:after="0" w:line="184" w:lineRule="exact"/>
              <w:rPr>
                <w:sz w:val="20"/>
                <w:szCs w:val="20"/>
                <w:color w:val="auto"/>
              </w:rPr>
            </w:pPr>
            <w:r>
              <w:rPr>
                <w:rFonts w:ascii="Times New Roman" w:cs="Times New Roman" w:eastAsia="Times New Roman" w:hAnsi="Times New Roman"/>
                <w:sz w:val="18"/>
                <w:szCs w:val="18"/>
                <w:color w:val="auto"/>
              </w:rPr>
              <w:t>June 30,</w:t>
            </w:r>
          </w:p>
        </w:tc>
        <w:tc>
          <w:tcPr>
            <w:tcW w:w="160" w:type="dxa"/>
            <w:vAlign w:val="bottom"/>
          </w:tcPr>
          <w:p>
            <w:pPr>
              <w:spacing w:after="0"/>
              <w:rPr>
                <w:sz w:val="16"/>
                <w:szCs w:val="16"/>
                <w:color w:val="auto"/>
              </w:rPr>
            </w:pPr>
          </w:p>
        </w:tc>
        <w:tc>
          <w:tcPr>
            <w:tcW w:w="1320" w:type="dxa"/>
            <w:vAlign w:val="bottom"/>
          </w:tcPr>
          <w:p>
            <w:pPr>
              <w:jc w:val="right"/>
              <w:ind w:right="170"/>
              <w:spacing w:after="0" w:line="184" w:lineRule="exact"/>
              <w:rPr>
                <w:sz w:val="20"/>
                <w:szCs w:val="20"/>
                <w:color w:val="auto"/>
              </w:rPr>
            </w:pPr>
            <w:r>
              <w:rPr>
                <w:rFonts w:ascii="Times New Roman" w:cs="Times New Roman" w:eastAsia="Times New Roman" w:hAnsi="Times New Roman"/>
                <w:sz w:val="18"/>
                <w:szCs w:val="18"/>
                <w:color w:val="auto"/>
              </w:rPr>
              <w:t>December 31,</w:t>
            </w:r>
          </w:p>
        </w:tc>
        <w:tc>
          <w:tcPr>
            <w:tcW w:w="0" w:type="dxa"/>
            <w:vAlign w:val="bottom"/>
          </w:tcPr>
          <w:p>
            <w:pPr>
              <w:spacing w:after="0"/>
              <w:rPr>
                <w:sz w:val="1"/>
                <w:szCs w:val="1"/>
                <w:color w:val="auto"/>
              </w:rPr>
            </w:pPr>
          </w:p>
        </w:tc>
      </w:tr>
      <w:tr>
        <w:trPr>
          <w:trHeight w:val="234"/>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260" w:type="dxa"/>
            <w:vAlign w:val="bottom"/>
          </w:tcPr>
          <w:p>
            <w:pPr>
              <w:spacing w:after="0"/>
              <w:rPr>
                <w:sz w:val="20"/>
                <w:szCs w:val="20"/>
                <w:color w:val="auto"/>
              </w:rPr>
            </w:pPr>
          </w:p>
        </w:tc>
        <w:tc>
          <w:tcPr>
            <w:tcW w:w="122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2024</w:t>
            </w:r>
          </w:p>
        </w:tc>
        <w:tc>
          <w:tcPr>
            <w:tcW w:w="0" w:type="dxa"/>
            <w:vAlign w:val="bottom"/>
          </w:tcPr>
          <w:p>
            <w:pPr>
              <w:spacing w:after="0"/>
              <w:rPr>
                <w:sz w:val="1"/>
                <w:szCs w:val="1"/>
                <w:color w:val="auto"/>
              </w:rPr>
            </w:pPr>
          </w:p>
        </w:tc>
      </w:tr>
      <w:tr>
        <w:trPr>
          <w:trHeight w:val="34"/>
        </w:trPr>
        <w:tc>
          <w:tcPr>
            <w:tcW w:w="80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top w:val="single" w:sz="8" w:color="auto"/>
            </w:tcBorders>
          </w:tcPr>
          <w:p>
            <w:pPr>
              <w:spacing w:after="0"/>
              <w:rPr>
                <w:sz w:val="2"/>
                <w:szCs w:val="2"/>
                <w:color w:val="auto"/>
              </w:rPr>
            </w:pPr>
          </w:p>
        </w:tc>
        <w:tc>
          <w:tcPr>
            <w:tcW w:w="122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1320" w:type="dxa"/>
            <w:vAlign w:val="bottom"/>
            <w:tcBorders>
              <w:top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8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Employee compensation and benefits</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30,231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28,996</w:t>
            </w:r>
          </w:p>
        </w:tc>
        <w:tc>
          <w:tcPr>
            <w:tcW w:w="0" w:type="dxa"/>
            <w:vAlign w:val="bottom"/>
          </w:tcPr>
          <w:p>
            <w:pPr>
              <w:spacing w:after="0"/>
              <w:rPr>
                <w:sz w:val="1"/>
                <w:szCs w:val="1"/>
                <w:color w:val="auto"/>
              </w:rPr>
            </w:pPr>
          </w:p>
        </w:tc>
      </w:tr>
      <w:tr>
        <w:trPr>
          <w:trHeight w:val="229"/>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Deferred FCC repack income</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35,669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37,733</w:t>
            </w:r>
          </w:p>
        </w:tc>
        <w:tc>
          <w:tcPr>
            <w:tcW w:w="0" w:type="dxa"/>
            <w:vAlign w:val="bottom"/>
          </w:tcPr>
          <w:p>
            <w:pPr>
              <w:spacing w:after="0"/>
              <w:rPr>
                <w:sz w:val="1"/>
                <w:szCs w:val="1"/>
                <w:color w:val="auto"/>
              </w:rPr>
            </w:pPr>
          </w:p>
        </w:tc>
      </w:tr>
      <w:tr>
        <w:trPr>
          <w:trHeight w:val="229"/>
        </w:trPr>
        <w:tc>
          <w:tcPr>
            <w:tcW w:w="8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Programming liability</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190,914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248,634</w:t>
            </w:r>
          </w:p>
        </w:tc>
        <w:tc>
          <w:tcPr>
            <w:tcW w:w="0" w:type="dxa"/>
            <w:vAlign w:val="bottom"/>
          </w:tcPr>
          <w:p>
            <w:pPr>
              <w:spacing w:after="0"/>
              <w:rPr>
                <w:sz w:val="1"/>
                <w:szCs w:val="1"/>
                <w:color w:val="auto"/>
              </w:rPr>
            </w:pPr>
          </w:p>
        </w:tc>
      </w:tr>
      <w:tr>
        <w:trPr>
          <w:trHeight w:val="230"/>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Liability for pension benefits</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71,034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71,211</w:t>
            </w:r>
          </w:p>
        </w:tc>
        <w:tc>
          <w:tcPr>
            <w:tcW w:w="0" w:type="dxa"/>
            <w:vAlign w:val="bottom"/>
          </w:tcPr>
          <w:p>
            <w:pPr>
              <w:spacing w:after="0"/>
              <w:rPr>
                <w:sz w:val="1"/>
                <w:szCs w:val="1"/>
                <w:color w:val="auto"/>
              </w:rPr>
            </w:pPr>
          </w:p>
        </w:tc>
      </w:tr>
      <w:tr>
        <w:trPr>
          <w:trHeight w:val="229"/>
        </w:trPr>
        <w:tc>
          <w:tcPr>
            <w:tcW w:w="8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Liabilities for uncertain tax positions</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33,902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32,515</w:t>
            </w:r>
          </w:p>
        </w:tc>
        <w:tc>
          <w:tcPr>
            <w:tcW w:w="0" w:type="dxa"/>
            <w:vAlign w:val="bottom"/>
          </w:tcPr>
          <w:p>
            <w:pPr>
              <w:spacing w:after="0"/>
              <w:rPr>
                <w:sz w:val="1"/>
                <w:szCs w:val="1"/>
                <w:color w:val="auto"/>
              </w:rPr>
            </w:pPr>
          </w:p>
        </w:tc>
      </w:tr>
      <w:tr>
        <w:trPr>
          <w:trHeight w:val="229"/>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Finance leases</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31,249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31,021</w:t>
            </w:r>
          </w:p>
        </w:tc>
        <w:tc>
          <w:tcPr>
            <w:tcW w:w="0" w:type="dxa"/>
            <w:vAlign w:val="bottom"/>
          </w:tcPr>
          <w:p>
            <w:pPr>
              <w:spacing w:after="0"/>
              <w:rPr>
                <w:sz w:val="1"/>
                <w:szCs w:val="1"/>
                <w:color w:val="auto"/>
              </w:rPr>
            </w:pPr>
          </w:p>
        </w:tc>
      </w:tr>
      <w:tr>
        <w:trPr>
          <w:trHeight w:val="230"/>
        </w:trPr>
        <w:tc>
          <w:tcPr>
            <w:tcW w:w="8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13,533</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14,464</w:t>
            </w:r>
          </w:p>
        </w:tc>
        <w:tc>
          <w:tcPr>
            <w:tcW w:w="0" w:type="dxa"/>
            <w:vAlign w:val="bottom"/>
          </w:tcPr>
          <w:p>
            <w:pPr>
              <w:spacing w:after="0"/>
              <w:rPr>
                <w:sz w:val="1"/>
                <w:szCs w:val="1"/>
                <w:color w:val="auto"/>
              </w:rPr>
            </w:pPr>
          </w:p>
        </w:tc>
      </w:tr>
      <w:tr>
        <w:trPr>
          <w:trHeight w:val="223"/>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liabilities (less current portion)</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406,532</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464,574</w:t>
            </w:r>
          </w:p>
        </w:tc>
        <w:tc>
          <w:tcPr>
            <w:tcW w:w="0" w:type="dxa"/>
            <w:vAlign w:val="bottom"/>
          </w:tcPr>
          <w:p>
            <w:pPr>
              <w:spacing w:after="0"/>
              <w:rPr>
                <w:sz w:val="1"/>
                <w:szCs w:val="1"/>
                <w:color w:val="auto"/>
              </w:rPr>
            </w:pPr>
          </w:p>
        </w:tc>
      </w:tr>
      <w:tr>
        <w:trPr>
          <w:trHeight w:val="21"/>
        </w:trPr>
        <w:tc>
          <w:tcPr>
            <w:tcW w:w="81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9. Supplemental Cash Flow Information</w:t>
            </w: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28"/>
        </w:trPr>
        <w:tc>
          <w:tcPr>
            <w:tcW w:w="8180" w:type="dxa"/>
            <w:vAlign w:val="bottom"/>
            <w:gridSpan w:val="2"/>
            <w:vMerge w:val="continue"/>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818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The following table presents additional information about the change in certain working capital accounts:</w:t>
            </w: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2"/>
        </w:trPr>
        <w:tc>
          <w:tcPr>
            <w:tcW w:w="8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0" w:type="dxa"/>
            <w:vAlign w:val="bottom"/>
            <w:gridSpan w:val="4"/>
          </w:tcPr>
          <w:p>
            <w:pPr>
              <w:jc w:val="right"/>
              <w:ind w:right="790"/>
              <w:spacing w:after="0"/>
              <w:rPr>
                <w:sz w:val="20"/>
                <w:szCs w:val="20"/>
                <w:color w:val="auto"/>
              </w:rPr>
            </w:pPr>
            <w:r>
              <w:rPr>
                <w:rFonts w:ascii="Times New Roman" w:cs="Times New Roman" w:eastAsia="Times New Roman" w:hAnsi="Times New Roman"/>
                <w:sz w:val="18"/>
                <w:szCs w:val="18"/>
                <w:color w:val="auto"/>
              </w:rPr>
              <w:t>Six Months Ended</w:t>
            </w:r>
          </w:p>
        </w:tc>
        <w:tc>
          <w:tcPr>
            <w:tcW w:w="0" w:type="dxa"/>
            <w:vAlign w:val="bottom"/>
          </w:tcPr>
          <w:p>
            <w:pPr>
              <w:spacing w:after="0"/>
              <w:rPr>
                <w:sz w:val="1"/>
                <w:szCs w:val="1"/>
                <w:color w:val="auto"/>
              </w:rPr>
            </w:pPr>
          </w:p>
        </w:tc>
      </w:tr>
      <w:tr>
        <w:trPr>
          <w:trHeight w:val="234"/>
        </w:trPr>
        <w:tc>
          <w:tcPr>
            <w:tcW w:w="8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800" w:type="dxa"/>
            <w:vAlign w:val="bottom"/>
            <w:tcBorders>
              <w:bottom w:val="single" w:sz="8" w:color="auto"/>
            </w:tcBorders>
            <w:gridSpan w:val="4"/>
          </w:tcPr>
          <w:p>
            <w:pPr>
              <w:jc w:val="right"/>
              <w:ind w:right="1130"/>
              <w:spacing w:after="0"/>
              <w:rPr>
                <w:sz w:val="20"/>
                <w:szCs w:val="20"/>
                <w:color w:val="auto"/>
              </w:rPr>
            </w:pPr>
            <w:r>
              <w:rPr>
                <w:rFonts w:ascii="Times New Roman" w:cs="Times New Roman" w:eastAsia="Times New Roman" w:hAnsi="Times New Roman"/>
                <w:sz w:val="18"/>
                <w:szCs w:val="18"/>
                <w:color w:val="auto"/>
              </w:rPr>
              <w:t>June 30,</w:t>
            </w:r>
          </w:p>
        </w:tc>
        <w:tc>
          <w:tcPr>
            <w:tcW w:w="0" w:type="dxa"/>
            <w:vAlign w:val="bottom"/>
          </w:tcPr>
          <w:p>
            <w:pPr>
              <w:spacing w:after="0"/>
              <w:rPr>
                <w:sz w:val="1"/>
                <w:szCs w:val="1"/>
                <w:color w:val="auto"/>
              </w:rPr>
            </w:pPr>
          </w:p>
        </w:tc>
      </w:tr>
      <w:tr>
        <w:trPr>
          <w:trHeight w:val="223"/>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260" w:type="dxa"/>
            <w:vAlign w:val="bottom"/>
          </w:tcPr>
          <w:p>
            <w:pPr>
              <w:spacing w:after="0"/>
              <w:rPr>
                <w:sz w:val="19"/>
                <w:szCs w:val="19"/>
                <w:color w:val="auto"/>
              </w:rPr>
            </w:pPr>
          </w:p>
        </w:tc>
        <w:tc>
          <w:tcPr>
            <w:tcW w:w="122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2024</w:t>
            </w:r>
          </w:p>
        </w:tc>
        <w:tc>
          <w:tcPr>
            <w:tcW w:w="0" w:type="dxa"/>
            <w:vAlign w:val="bottom"/>
          </w:tcPr>
          <w:p>
            <w:pPr>
              <w:spacing w:after="0"/>
              <w:rPr>
                <w:sz w:val="1"/>
                <w:szCs w:val="1"/>
                <w:color w:val="auto"/>
              </w:rPr>
            </w:pPr>
          </w:p>
        </w:tc>
      </w:tr>
      <w:tr>
        <w:trPr>
          <w:trHeight w:val="34"/>
        </w:trPr>
        <w:tc>
          <w:tcPr>
            <w:tcW w:w="80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top w:val="single" w:sz="8" w:color="auto"/>
            </w:tcBorders>
          </w:tcPr>
          <w:p>
            <w:pPr>
              <w:spacing w:after="0"/>
              <w:rPr>
                <w:sz w:val="2"/>
                <w:szCs w:val="2"/>
                <w:color w:val="auto"/>
              </w:rPr>
            </w:pPr>
          </w:p>
        </w:tc>
        <w:tc>
          <w:tcPr>
            <w:tcW w:w="122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1320" w:type="dxa"/>
            <w:vAlign w:val="bottom"/>
            <w:tcBorders>
              <w:top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receivable</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14,320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31,931</w:t>
            </w:r>
          </w:p>
        </w:tc>
        <w:tc>
          <w:tcPr>
            <w:tcW w:w="0" w:type="dxa"/>
            <w:vAlign w:val="bottom"/>
          </w:tcPr>
          <w:p>
            <w:pPr>
              <w:spacing w:after="0"/>
              <w:rPr>
                <w:sz w:val="1"/>
                <w:szCs w:val="1"/>
                <w:color w:val="auto"/>
              </w:rPr>
            </w:pPr>
          </w:p>
        </w:tc>
      </w:tr>
      <w:tr>
        <w:trPr>
          <w:trHeight w:val="230"/>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current assets</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(19,208)</w:t>
            </w:r>
          </w:p>
        </w:tc>
        <w:tc>
          <w:tcPr>
            <w:tcW w:w="0" w:type="dxa"/>
            <w:vAlign w:val="bottom"/>
          </w:tcPr>
          <w:p>
            <w:pPr>
              <w:spacing w:after="0"/>
              <w:rPr>
                <w:sz w:val="1"/>
                <w:szCs w:val="1"/>
                <w:color w:val="auto"/>
              </w:rPr>
            </w:pPr>
          </w:p>
        </w:tc>
      </w:tr>
      <w:tr>
        <w:trPr>
          <w:trHeight w:val="229"/>
        </w:trPr>
        <w:tc>
          <w:tcPr>
            <w:tcW w:w="8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payable</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(25,477)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2,608</w:t>
            </w:r>
          </w:p>
        </w:tc>
        <w:tc>
          <w:tcPr>
            <w:tcW w:w="0" w:type="dxa"/>
            <w:vAlign w:val="bottom"/>
          </w:tcPr>
          <w:p>
            <w:pPr>
              <w:spacing w:after="0"/>
              <w:rPr>
                <w:sz w:val="1"/>
                <w:szCs w:val="1"/>
                <w:color w:val="auto"/>
              </w:rPr>
            </w:pPr>
          </w:p>
        </w:tc>
      </w:tr>
      <w:tr>
        <w:trPr>
          <w:trHeight w:val="230"/>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Unearned revenue</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2,722</w:t>
            </w:r>
          </w:p>
        </w:tc>
        <w:tc>
          <w:tcPr>
            <w:tcW w:w="0" w:type="dxa"/>
            <w:vAlign w:val="bottom"/>
          </w:tcPr>
          <w:p>
            <w:pPr>
              <w:spacing w:after="0"/>
              <w:rPr>
                <w:sz w:val="1"/>
                <w:szCs w:val="1"/>
                <w:color w:val="auto"/>
              </w:rPr>
            </w:pPr>
          </w:p>
        </w:tc>
      </w:tr>
      <w:tr>
        <w:trPr>
          <w:trHeight w:val="230"/>
        </w:trPr>
        <w:tc>
          <w:tcPr>
            <w:tcW w:w="8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employee compensation and benefits</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(39,295)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(24,157)</w:t>
            </w:r>
          </w:p>
        </w:tc>
        <w:tc>
          <w:tcPr>
            <w:tcW w:w="0" w:type="dxa"/>
            <w:vAlign w:val="bottom"/>
          </w:tcPr>
          <w:p>
            <w:pPr>
              <w:spacing w:after="0"/>
              <w:rPr>
                <w:sz w:val="1"/>
                <w:szCs w:val="1"/>
                <w:color w:val="auto"/>
              </w:rPr>
            </w:pPr>
          </w:p>
        </w:tc>
      </w:tr>
      <w:tr>
        <w:trPr>
          <w:trHeight w:val="230"/>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Accrued income taxes</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(4,987)</w:t>
            </w:r>
          </w:p>
        </w:tc>
        <w:tc>
          <w:tcPr>
            <w:tcW w:w="0" w:type="dxa"/>
            <w:vAlign w:val="bottom"/>
          </w:tcPr>
          <w:p>
            <w:pPr>
              <w:spacing w:after="0"/>
              <w:rPr>
                <w:sz w:val="1"/>
                <w:szCs w:val="1"/>
                <w:color w:val="auto"/>
              </w:rPr>
            </w:pPr>
          </w:p>
        </w:tc>
      </w:tr>
      <w:tr>
        <w:trPr>
          <w:trHeight w:val="229"/>
        </w:trPr>
        <w:tc>
          <w:tcPr>
            <w:tcW w:w="8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interest</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5,982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(665)</w:t>
            </w:r>
          </w:p>
        </w:tc>
        <w:tc>
          <w:tcPr>
            <w:tcW w:w="0" w:type="dxa"/>
            <w:vAlign w:val="bottom"/>
          </w:tcPr>
          <w:p>
            <w:pPr>
              <w:spacing w:after="0"/>
              <w:rPr>
                <w:sz w:val="1"/>
                <w:szCs w:val="1"/>
                <w:color w:val="auto"/>
              </w:rPr>
            </w:pPr>
          </w:p>
        </w:tc>
      </w:tr>
      <w:tr>
        <w:trPr>
          <w:trHeight w:val="230"/>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accrued liabilities</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8,855</w:t>
            </w:r>
          </w:p>
        </w:tc>
        <w:tc>
          <w:tcPr>
            <w:tcW w:w="0" w:type="dxa"/>
            <w:vAlign w:val="bottom"/>
          </w:tcPr>
          <w:p>
            <w:pPr>
              <w:spacing w:after="0"/>
              <w:rPr>
                <w:sz w:val="1"/>
                <w:szCs w:val="1"/>
                <w:color w:val="auto"/>
              </w:rPr>
            </w:pPr>
          </w:p>
        </w:tc>
      </w:tr>
      <w:tr>
        <w:trPr>
          <w:trHeight w:val="230"/>
        </w:trPr>
        <w:tc>
          <w:tcPr>
            <w:tcW w:w="8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net</w:t>
            </w:r>
          </w:p>
        </w:tc>
        <w:tc>
          <w:tcPr>
            <w:tcW w:w="2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w:t>
            </w:r>
          </w:p>
        </w:tc>
        <w:tc>
          <w:tcPr>
            <w:tcW w:w="0" w:type="dxa"/>
            <w:vAlign w:val="bottom"/>
          </w:tcPr>
          <w:p>
            <w:pPr>
              <w:spacing w:after="0"/>
              <w:rPr>
                <w:sz w:val="1"/>
                <w:szCs w:val="1"/>
                <w:color w:val="auto"/>
              </w:rPr>
            </w:pPr>
          </w:p>
        </w:tc>
      </w:tr>
      <w:tr>
        <w:trPr>
          <w:trHeight w:val="223"/>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(48,935)</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(3,395)</w:t>
            </w:r>
          </w:p>
        </w:tc>
        <w:tc>
          <w:tcPr>
            <w:tcW w:w="0" w:type="dxa"/>
            <w:vAlign w:val="bottom"/>
          </w:tcPr>
          <w:p>
            <w:pPr>
              <w:spacing w:after="0"/>
              <w:rPr>
                <w:sz w:val="1"/>
                <w:szCs w:val="1"/>
                <w:color w:val="auto"/>
              </w:rPr>
            </w:pPr>
          </w:p>
        </w:tc>
      </w:tr>
      <w:tr>
        <w:trPr>
          <w:trHeight w:val="20"/>
        </w:trPr>
        <w:tc>
          <w:tcPr>
            <w:tcW w:w="8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Employee Benefit Plans</w:t>
      </w:r>
    </w:p>
    <w:p>
      <w:pPr>
        <w:spacing w:after="0" w:line="256" w:lineRule="exact"/>
        <w:rPr>
          <w:sz w:val="20"/>
          <w:szCs w:val="20"/>
          <w:color w:val="auto"/>
        </w:rPr>
      </w:pPr>
    </w:p>
    <w:p>
      <w:pPr>
        <w:ind w:right="180" w:firstLine="405"/>
        <w:spacing w:after="0" w:line="282" w:lineRule="auto"/>
        <w:rPr>
          <w:sz w:val="20"/>
          <w:szCs w:val="20"/>
          <w:color w:val="auto"/>
        </w:rPr>
      </w:pPr>
      <w:r>
        <w:rPr>
          <w:rFonts w:ascii="Times New Roman" w:cs="Times New Roman" w:eastAsia="Times New Roman" w:hAnsi="Times New Roman"/>
          <w:sz w:val="18"/>
          <w:szCs w:val="18"/>
          <w:color w:val="auto"/>
        </w:rPr>
        <w:t>We sponsor a noncontributory defined benefit pension plan and non-qualified Supplemental Executive Retirement Plans ("SERPs"). The accrual for future benefits has been frozen in our defined benefit pension plan and SERPs.</w:t>
      </w:r>
    </w:p>
    <w:p>
      <w:pPr>
        <w:spacing w:after="0" w:line="189" w:lineRule="exact"/>
        <w:rPr>
          <w:sz w:val="20"/>
          <w:szCs w:val="20"/>
          <w:color w:val="auto"/>
        </w:rPr>
      </w:pPr>
    </w:p>
    <w:p>
      <w:pPr>
        <w:ind w:right="720" w:firstLine="405"/>
        <w:spacing w:after="0" w:line="282" w:lineRule="auto"/>
        <w:rPr>
          <w:sz w:val="20"/>
          <w:szCs w:val="20"/>
          <w:color w:val="auto"/>
        </w:rPr>
      </w:pPr>
      <w:r>
        <w:rPr>
          <w:rFonts w:ascii="Times New Roman" w:cs="Times New Roman" w:eastAsia="Times New Roman" w:hAnsi="Times New Roman"/>
          <w:sz w:val="18"/>
          <w:szCs w:val="18"/>
          <w:color w:val="auto"/>
        </w:rPr>
        <w:t>We sponsor a defined contribution plan covering substantially all non-union and certain union employees. We match a portion of employees' voluntary contributions to this plan.</w:t>
      </w:r>
    </w:p>
    <w:p>
      <w:pPr>
        <w:spacing w:after="0" w:line="121" w:lineRule="exact"/>
        <w:rPr>
          <w:sz w:val="20"/>
          <w:szCs w:val="20"/>
          <w:color w:val="auto"/>
        </w:rPr>
      </w:pPr>
    </w:p>
    <w:p>
      <w:pPr>
        <w:ind w:right="60" w:firstLine="405"/>
        <w:spacing w:after="0" w:line="282" w:lineRule="auto"/>
        <w:rPr>
          <w:sz w:val="20"/>
          <w:szCs w:val="20"/>
          <w:color w:val="auto"/>
        </w:rPr>
      </w:pPr>
      <w:r>
        <w:rPr>
          <w:rFonts w:ascii="Times New Roman" w:cs="Times New Roman" w:eastAsia="Times New Roman" w:hAnsi="Times New Roman"/>
          <w:sz w:val="18"/>
          <w:szCs w:val="18"/>
          <w:color w:val="auto"/>
        </w:rPr>
        <w:t>Other union-represented employees are covered by defined benefit pension plans jointly sponsored by us and the union, or by union-sponsored multi-employer plans.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ind w:left="420"/>
        <w:spacing w:after="0"/>
        <w:rPr>
          <w:sz w:val="20"/>
          <w:szCs w:val="20"/>
          <w:color w:val="auto"/>
        </w:rPr>
      </w:pPr>
      <w:r>
        <w:rPr>
          <w:rFonts w:ascii="Times New Roman" w:cs="Times New Roman" w:eastAsia="Times New Roman" w:hAnsi="Times New Roman"/>
          <w:sz w:val="18"/>
          <w:szCs w:val="18"/>
          <w:color w:val="auto"/>
        </w:rPr>
        <w:t>The components of the employee benefit plan expense consisted of the following:</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540" w:type="dxa"/>
            <w:vAlign w:val="bottom"/>
            <w:gridSpan w:val="5"/>
          </w:tcPr>
          <w:p>
            <w:pPr>
              <w:ind w:left="280"/>
              <w:spacing w:after="0"/>
              <w:rPr>
                <w:sz w:val="20"/>
                <w:szCs w:val="20"/>
                <w:color w:val="auto"/>
              </w:rPr>
            </w:pPr>
            <w:r>
              <w:rPr>
                <w:rFonts w:ascii="Times New Roman" w:cs="Times New Roman" w:eastAsia="Times New Roman" w:hAnsi="Times New Roman"/>
                <w:sz w:val="18"/>
                <w:szCs w:val="18"/>
                <w:color w:val="auto"/>
              </w:rPr>
              <w:t>Three Months Ended</w:t>
            </w:r>
          </w:p>
        </w:tc>
        <w:tc>
          <w:tcPr>
            <w:tcW w:w="300" w:type="dxa"/>
            <w:vAlign w:val="bottom"/>
          </w:tcPr>
          <w:p>
            <w:pPr>
              <w:spacing w:after="0"/>
              <w:rPr>
                <w:sz w:val="17"/>
                <w:szCs w:val="17"/>
                <w:color w:val="auto"/>
              </w:rPr>
            </w:pPr>
          </w:p>
        </w:tc>
        <w:tc>
          <w:tcPr>
            <w:tcW w:w="2440" w:type="dxa"/>
            <w:vAlign w:val="bottom"/>
            <w:gridSpan w:val="4"/>
          </w:tcPr>
          <w:p>
            <w:pPr>
              <w:ind w:left="380"/>
              <w:spacing w:after="0"/>
              <w:rPr>
                <w:sz w:val="20"/>
                <w:szCs w:val="20"/>
                <w:color w:val="auto"/>
              </w:rPr>
            </w:pPr>
            <w:r>
              <w:rPr>
                <w:rFonts w:ascii="Times New Roman" w:cs="Times New Roman" w:eastAsia="Times New Roman" w:hAnsi="Times New Roman"/>
                <w:sz w:val="18"/>
                <w:szCs w:val="18"/>
                <w:color w:val="auto"/>
              </w:rPr>
              <w:t>Six Months Ended</w:t>
            </w:r>
          </w:p>
        </w:tc>
      </w:tr>
      <w:tr>
        <w:trPr>
          <w:trHeight w:val="236"/>
        </w:trPr>
        <w:tc>
          <w:tcPr>
            <w:tcW w:w="5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8"/>
                <w:szCs w:val="18"/>
                <w:color w:val="auto"/>
              </w:rPr>
              <w:t>June 30,</w:t>
            </w:r>
          </w:p>
        </w:tc>
        <w:tc>
          <w:tcPr>
            <w:tcW w:w="9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3"/>
          </w:tcPr>
          <w:p>
            <w:pPr>
              <w:ind w:left="760"/>
              <w:spacing w:after="0"/>
              <w:rPr>
                <w:sz w:val="20"/>
                <w:szCs w:val="20"/>
                <w:color w:val="auto"/>
              </w:rPr>
            </w:pPr>
            <w:r>
              <w:rPr>
                <w:rFonts w:ascii="Times New Roman" w:cs="Times New Roman" w:eastAsia="Times New Roman" w:hAnsi="Times New Roman"/>
                <w:sz w:val="18"/>
                <w:szCs w:val="18"/>
                <w:color w:val="auto"/>
              </w:rPr>
              <w:t>June 30,</w:t>
            </w:r>
          </w:p>
        </w:tc>
        <w:tc>
          <w:tcPr>
            <w:tcW w:w="960" w:type="dxa"/>
            <w:vAlign w:val="bottom"/>
            <w:tcBorders>
              <w:bottom w:val="single" w:sz="8" w:color="auto"/>
            </w:tcBorders>
          </w:tcPr>
          <w:p>
            <w:pPr>
              <w:spacing w:after="0"/>
              <w:rPr>
                <w:sz w:val="20"/>
                <w:szCs w:val="20"/>
                <w:color w:val="auto"/>
              </w:rPr>
            </w:pPr>
          </w:p>
        </w:tc>
      </w:tr>
      <w:tr>
        <w:trPr>
          <w:trHeight w:val="230"/>
        </w:trPr>
        <w:tc>
          <w:tcPr>
            <w:tcW w:w="5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300" w:type="dxa"/>
            <w:vAlign w:val="bottom"/>
          </w:tcPr>
          <w:p>
            <w:pPr>
              <w:spacing w:after="0"/>
              <w:rPr>
                <w:sz w:val="19"/>
                <w:szCs w:val="19"/>
                <w:color w:val="auto"/>
              </w:rPr>
            </w:pPr>
          </w:p>
        </w:tc>
        <w:tc>
          <w:tcPr>
            <w:tcW w:w="102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2025</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2024</w:t>
            </w:r>
          </w:p>
        </w:tc>
      </w:tr>
      <w:tr>
        <w:trPr>
          <w:trHeight w:val="74"/>
        </w:trPr>
        <w:tc>
          <w:tcPr>
            <w:tcW w:w="556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300" w:type="dxa"/>
            <w:vAlign w:val="bottom"/>
            <w:tcBorders>
              <w:top w:val="single" w:sz="8" w:color="auto"/>
            </w:tcBorders>
          </w:tcPr>
          <w:p>
            <w:pPr>
              <w:spacing w:after="0"/>
              <w:rPr>
                <w:sz w:val="6"/>
                <w:szCs w:val="6"/>
                <w:color w:val="auto"/>
              </w:rPr>
            </w:pPr>
          </w:p>
        </w:tc>
        <w:tc>
          <w:tcPr>
            <w:tcW w:w="102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360" w:type="dxa"/>
            <w:vAlign w:val="bottom"/>
            <w:tcBorders>
              <w:top w:val="single" w:sz="8" w:color="auto"/>
            </w:tcBorders>
          </w:tcPr>
          <w:p>
            <w:pPr>
              <w:spacing w:after="0"/>
              <w:rPr>
                <w:sz w:val="6"/>
                <w:szCs w:val="6"/>
                <w:color w:val="auto"/>
              </w:rPr>
            </w:pPr>
          </w:p>
        </w:tc>
        <w:tc>
          <w:tcPr>
            <w:tcW w:w="96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300" w:type="dxa"/>
            <w:vAlign w:val="bottom"/>
            <w:tcBorders>
              <w:top w:val="single" w:sz="8" w:color="auto"/>
            </w:tcBorders>
          </w:tcPr>
          <w:p>
            <w:pPr>
              <w:spacing w:after="0"/>
              <w:rPr>
                <w:sz w:val="6"/>
                <w:szCs w:val="6"/>
                <w:color w:val="auto"/>
              </w:rPr>
            </w:pPr>
          </w:p>
        </w:tc>
        <w:tc>
          <w:tcPr>
            <w:tcW w:w="1000" w:type="dxa"/>
            <w:vAlign w:val="bottom"/>
            <w:tcBorders>
              <w:top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360" w:type="dxa"/>
            <w:vAlign w:val="bottom"/>
            <w:tcBorders>
              <w:top w:val="single" w:sz="8" w:color="auto"/>
            </w:tcBorders>
          </w:tcPr>
          <w:p>
            <w:pPr>
              <w:spacing w:after="0"/>
              <w:rPr>
                <w:sz w:val="6"/>
                <w:szCs w:val="6"/>
                <w:color w:val="auto"/>
              </w:rPr>
            </w:pPr>
          </w:p>
        </w:tc>
        <w:tc>
          <w:tcPr>
            <w:tcW w:w="960" w:type="dxa"/>
            <w:vAlign w:val="bottom"/>
            <w:tcBorders>
              <w:top w:val="single" w:sz="8" w:color="auto"/>
            </w:tcBorders>
          </w:tcPr>
          <w:p>
            <w:pPr>
              <w:spacing w:after="0"/>
              <w:rPr>
                <w:sz w:val="6"/>
                <w:szCs w:val="6"/>
                <w:color w:val="auto"/>
              </w:rPr>
            </w:pPr>
          </w:p>
        </w:tc>
      </w:tr>
      <w:tr>
        <w:trPr>
          <w:trHeight w:val="230"/>
        </w:trPr>
        <w:tc>
          <w:tcPr>
            <w:tcW w:w="5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cost</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11,298</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11,205</w:t>
            </w:r>
          </w:p>
        </w:tc>
      </w:tr>
      <w:tr>
        <w:trPr>
          <w:trHeight w:val="229"/>
        </w:trPr>
        <w:tc>
          <w:tcPr>
            <w:tcW w:w="5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Expected return on plan assets, net of expenses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(5,559)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(6,018)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ind w:left="380"/>
              <w:spacing w:after="0"/>
              <w:rPr>
                <w:sz w:val="20"/>
                <w:szCs w:val="20"/>
                <w:color w:val="auto"/>
              </w:rPr>
            </w:pPr>
            <w:r>
              <w:rPr>
                <w:rFonts w:ascii="Times New Roman" w:cs="Times New Roman" w:eastAsia="Times New Roman" w:hAnsi="Times New Roman"/>
                <w:sz w:val="18"/>
                <w:szCs w:val="18"/>
                <w:color w:val="auto"/>
                <w:w w:val="97"/>
              </w:rPr>
              <w:t>(11,117)</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(12,036)</w:t>
            </w:r>
          </w:p>
        </w:tc>
      </w:tr>
      <w:tr>
        <w:trPr>
          <w:trHeight w:val="229"/>
        </w:trPr>
        <w:tc>
          <w:tcPr>
            <w:tcW w:w="5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actuarial loss and prior service cost</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23"/>
        </w:trPr>
        <w:tc>
          <w:tcPr>
            <w:tcW w:w="5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for defined benefit pension plan</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(822)</w:t>
            </w:r>
          </w:p>
        </w:tc>
      </w:tr>
      <w:tr>
        <w:trPr>
          <w:trHeight w:val="229"/>
        </w:trPr>
        <w:tc>
          <w:tcPr>
            <w:tcW w:w="5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SERPs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w:t>
            </w:r>
          </w:p>
        </w:tc>
      </w:tr>
      <w:tr>
        <w:trPr>
          <w:trHeight w:val="230"/>
        </w:trPr>
        <w:tc>
          <w:tcPr>
            <w:tcW w:w="56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Defined contribution plan</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3,237</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3,438</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8,381</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8,941</w:t>
            </w:r>
          </w:p>
        </w:tc>
      </w:tr>
      <w:tr>
        <w:trPr>
          <w:trHeight w:val="248"/>
        </w:trPr>
        <w:tc>
          <w:tcPr>
            <w:tcW w:w="56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periodic benefit cost</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9,056</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8,587</w:t>
            </w:r>
          </w:p>
        </w:tc>
      </w:tr>
      <w:tr>
        <w:trPr>
          <w:trHeight w:val="20"/>
        </w:trPr>
        <w:tc>
          <w:tcPr>
            <w:tcW w:w="55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jc w:val="both"/>
        <w:ind w:right="360" w:firstLine="405"/>
        <w:spacing w:after="0" w:line="266" w:lineRule="auto"/>
        <w:rPr>
          <w:sz w:val="20"/>
          <w:szCs w:val="20"/>
          <w:color w:val="auto"/>
        </w:rPr>
      </w:pPr>
      <w:r>
        <w:rPr>
          <w:rFonts w:ascii="Times New Roman" w:cs="Times New Roman" w:eastAsia="Times New Roman" w:hAnsi="Times New Roman"/>
          <w:sz w:val="18"/>
          <w:szCs w:val="18"/>
          <w:color w:val="auto"/>
        </w:rPr>
        <w:t>We contributed $0.6 million to fund current benefit payments for our SERPs during the six months ended June 30, 2025. During the remainder of 2025, we anticipate contributing an additional $1.0 million to fund the SERPs' benefit payments. We have met regulatory funding requirements for our qualified benefit pension plan and do not have a mandatory contribution in 2025.</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Segment Information</w:t>
      </w:r>
    </w:p>
    <w:p>
      <w:pPr>
        <w:spacing w:after="0" w:line="202" w:lineRule="exact"/>
        <w:rPr>
          <w:sz w:val="20"/>
          <w:szCs w:val="20"/>
          <w:color w:val="auto"/>
        </w:rPr>
      </w:pPr>
    </w:p>
    <w:p>
      <w:pPr>
        <w:ind w:right="520" w:firstLine="405"/>
        <w:spacing w:after="0" w:line="282" w:lineRule="auto"/>
        <w:rPr>
          <w:sz w:val="20"/>
          <w:szCs w:val="20"/>
          <w:color w:val="auto"/>
        </w:rPr>
      </w:pPr>
      <w:r>
        <w:rPr>
          <w:rFonts w:ascii="Times New Roman" w:cs="Times New Roman" w:eastAsia="Times New Roman" w:hAnsi="Times New Roman"/>
          <w:sz w:val="18"/>
          <w:szCs w:val="18"/>
          <w:color w:val="auto"/>
        </w:rPr>
        <w:t>We determine our operating segments based upon our management and internal reporting structure, as well as the basis that our chief operating decision maker makes resource-allocation decisions.</w:t>
      </w:r>
    </w:p>
    <w:p>
      <w:pPr>
        <w:spacing w:after="0" w:line="121" w:lineRule="exact"/>
        <w:rPr>
          <w:sz w:val="20"/>
          <w:szCs w:val="20"/>
          <w:color w:val="auto"/>
        </w:rPr>
      </w:pPr>
    </w:p>
    <w:p>
      <w:pPr>
        <w:ind w:right="120" w:firstLine="405"/>
        <w:spacing w:after="0" w:line="261" w:lineRule="auto"/>
        <w:rPr>
          <w:sz w:val="20"/>
          <w:szCs w:val="20"/>
          <w:color w:val="auto"/>
        </w:rPr>
      </w:pPr>
      <w:r>
        <w:rPr>
          <w:rFonts w:ascii="Times New Roman" w:cs="Times New Roman" w:eastAsia="Times New Roman" w:hAnsi="Times New Roman"/>
          <w:sz w:val="18"/>
          <w:szCs w:val="18"/>
          <w:color w:val="auto"/>
        </w:rPr>
        <w:t>Our Local Media segment includes more than 60 local television stations and their related digital operations. It is comprised of 18 ABC affiliates, 11 NBC affiliates, nine CBS affiliates and four FOX affiliates. We also have 11 independent stations and 10 additional low power stations. Our Local Media segment earns revenue primarily from the sale of advertising to local, national and political advertisers and retransmission fees received from cable operators, telecommunications companies, satellite carriers and over-the-top virtual MVPDs.</w:t>
      </w:r>
    </w:p>
    <w:p>
      <w:pPr>
        <w:spacing w:after="0" w:line="207" w:lineRule="exact"/>
        <w:rPr>
          <w:sz w:val="20"/>
          <w:szCs w:val="20"/>
          <w:color w:val="auto"/>
        </w:rPr>
      </w:pPr>
    </w:p>
    <w:p>
      <w:pPr>
        <w:ind w:right="180" w:firstLine="405"/>
        <w:spacing w:after="0" w:line="266" w:lineRule="auto"/>
        <w:rPr>
          <w:sz w:val="20"/>
          <w:szCs w:val="20"/>
          <w:color w:val="auto"/>
        </w:rPr>
      </w:pPr>
      <w:r>
        <w:rPr>
          <w:rFonts w:ascii="Times New Roman" w:cs="Times New Roman" w:eastAsia="Times New Roman" w:hAnsi="Times New Roman"/>
          <w:sz w:val="18"/>
          <w:szCs w:val="18"/>
          <w:color w:val="auto"/>
        </w:rPr>
        <w:t>Our Scripps Networks segment includes national news outlets Scripps News and Court TV as well as popular entertainment brands ION, Bounce, Grit, ION Mystery, ION Plus and Laff. The Scripps Networks reach nearly every U.S. television home through free over-the-air broadcast, cable/satellite, connected TV and/or digital distribution. These operations earn revenue primarily through the sale of advertising.</w:t>
      </w:r>
    </w:p>
    <w:p>
      <w:pPr>
        <w:spacing w:after="0" w:line="135" w:lineRule="exact"/>
        <w:rPr>
          <w:sz w:val="20"/>
          <w:szCs w:val="20"/>
          <w:color w:val="auto"/>
        </w:rPr>
      </w:pPr>
    </w:p>
    <w:p>
      <w:pPr>
        <w:ind w:firstLine="405"/>
        <w:spacing w:after="0" w:line="258" w:lineRule="auto"/>
        <w:rPr>
          <w:sz w:val="20"/>
          <w:szCs w:val="20"/>
          <w:color w:val="auto"/>
        </w:rPr>
      </w:pPr>
      <w:r>
        <w:rPr>
          <w:rFonts w:ascii="Times New Roman" w:cs="Times New Roman" w:eastAsia="Times New Roman" w:hAnsi="Times New Roman"/>
          <w:sz w:val="18"/>
          <w:szCs w:val="18"/>
          <w:color w:val="auto"/>
        </w:rPr>
        <w:t>Our segment results reflect the impact of intercompany carriage agreements between our local broadcast television stations and our national networks. The intercompany carriage fee revenue earned by our local broadcast television stations is equal to the carriage fee expense incurred by our national networks. We also allocate a portion of certain corporate costs and expenses, including accounting, human resources, employee benefit and information technology to our segments. These intercompany agreements and allocations are generally amounts agreed upon by management, which may differ from an arms-length amount.</w:t>
      </w:r>
    </w:p>
    <w:p>
      <w:pPr>
        <w:spacing w:after="0" w:line="156" w:lineRule="exact"/>
        <w:rPr>
          <w:sz w:val="20"/>
          <w:szCs w:val="20"/>
          <w:color w:val="auto"/>
        </w:rPr>
      </w:pPr>
    </w:p>
    <w:p>
      <w:pPr>
        <w:ind w:right="80" w:firstLine="405"/>
        <w:spacing w:after="0" w:line="261" w:lineRule="auto"/>
        <w:rPr>
          <w:sz w:val="20"/>
          <w:szCs w:val="20"/>
          <w:color w:val="auto"/>
        </w:rPr>
      </w:pPr>
      <w:r>
        <w:rPr>
          <w:rFonts w:ascii="Times New Roman" w:cs="Times New Roman" w:eastAsia="Times New Roman" w:hAnsi="Times New Roman"/>
          <w:sz w:val="18"/>
          <w:szCs w:val="18"/>
          <w:color w:val="auto"/>
        </w:rPr>
        <w:t>The other segment caption aggregates our operating segments that are too small to report separately. Costs for centrally provided services and certain corporate costs that are not allocated to the segments are included in shared services and corporate costs. These unallocated corporate costs would also include the costs associated with being a public company. Corporate assets are primarily cash and cash equivalents, property and equipment primarily used for corporate purposes and deferred income taxes.</w:t>
      </w:r>
    </w:p>
    <w:p>
      <w:pPr>
        <w:spacing w:after="0" w:line="207" w:lineRule="exact"/>
        <w:rPr>
          <w:sz w:val="20"/>
          <w:szCs w:val="20"/>
          <w:color w:val="auto"/>
        </w:rPr>
      </w:pPr>
    </w:p>
    <w:p>
      <w:pPr>
        <w:ind w:right="140" w:firstLine="405"/>
        <w:spacing w:after="0" w:line="258" w:lineRule="auto"/>
        <w:rPr>
          <w:sz w:val="20"/>
          <w:szCs w:val="20"/>
          <w:color w:val="auto"/>
        </w:rPr>
      </w:pPr>
      <w:r>
        <w:rPr>
          <w:rFonts w:ascii="Times New Roman" w:cs="Times New Roman" w:eastAsia="Times New Roman" w:hAnsi="Times New Roman"/>
          <w:sz w:val="18"/>
          <w:szCs w:val="18"/>
          <w:color w:val="auto"/>
        </w:rPr>
        <w:t>Our President and Chief Executive Officer is the Company's chief operating decision maker. He evaluates the monthly operating performance of our segments, including budget-to-actual variances, and makes decisions about the allocation of resources to our segments using a measure called segment profit. Segment profit excludes interest, defined benefit pension plan amounts, income taxes, depreciation and amortization, impairment charges, divested operating units, restructuring activities, investment results and certain other items that are included in net income (loss) determined in accordance with accounting principles generally accepted in the United States of America.</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3" w:name="page24"/>
    <w:bookmarkEnd w:id="23"/>
    <w:tbl>
      <w:tblPr>
        <w:tblLayout w:type="fixed"/>
        <w:tblInd w:w="0" w:type="dxa"/>
        <w:tblCellMar>
          <w:top w:w="0" w:type="dxa"/>
          <w:left w:w="0" w:type="dxa"/>
          <w:bottom w:w="0" w:type="dxa"/>
          <w:right w:w="0" w:type="dxa"/>
        </w:tblCellMar>
      </w:tblPr>
      <w:tr>
        <w:trPr>
          <w:trHeight w:val="234"/>
        </w:trPr>
        <w:tc>
          <w:tcPr>
            <w:tcW w:w="674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Information regarding our segments is as follows:</w:t>
            </w:r>
          </w:p>
        </w:tc>
        <w:tc>
          <w:tcPr>
            <w:tcW w:w="1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56"/>
        </w:trPr>
        <w:tc>
          <w:tcPr>
            <w:tcW w:w="66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3380" w:type="dxa"/>
            <w:vAlign w:val="bottom"/>
            <w:tcBorders>
              <w:bottom w:val="single" w:sz="8" w:color="auto"/>
            </w:tcBorders>
            <w:gridSpan w:val="6"/>
          </w:tcPr>
          <w:p>
            <w:pPr>
              <w:jc w:val="center"/>
              <w:ind w:left="650"/>
              <w:spacing w:after="0"/>
              <w:rPr>
                <w:sz w:val="20"/>
                <w:szCs w:val="20"/>
                <w:color w:val="auto"/>
              </w:rPr>
            </w:pPr>
            <w:r>
              <w:rPr>
                <w:rFonts w:ascii="Times New Roman" w:cs="Times New Roman" w:eastAsia="Times New Roman" w:hAnsi="Times New Roman"/>
                <w:sz w:val="18"/>
                <w:szCs w:val="18"/>
                <w:color w:val="auto"/>
                <w:w w:val="99"/>
              </w:rPr>
              <w:t>Three Months Ended June 30, 2025</w:t>
            </w:r>
          </w:p>
        </w:tc>
        <w:tc>
          <w:tcPr>
            <w:tcW w:w="940" w:type="dxa"/>
            <w:vAlign w:val="bottom"/>
            <w:tcBorders>
              <w:bottom w:val="single" w:sz="8" w:color="auto"/>
            </w:tcBorders>
          </w:tcPr>
          <w:p>
            <w:pPr>
              <w:spacing w:after="0"/>
              <w:rPr>
                <w:sz w:val="22"/>
                <w:szCs w:val="22"/>
                <w:color w:val="auto"/>
              </w:rPr>
            </w:pPr>
          </w:p>
        </w:tc>
      </w:tr>
      <w:tr>
        <w:trPr>
          <w:trHeight w:val="223"/>
        </w:trPr>
        <w:tc>
          <w:tcPr>
            <w:tcW w:w="6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180" w:type="dxa"/>
            <w:vAlign w:val="bottom"/>
          </w:tcPr>
          <w:p>
            <w:pPr>
              <w:spacing w:after="0"/>
              <w:rPr>
                <w:sz w:val="19"/>
                <w:szCs w:val="19"/>
                <w:color w:val="auto"/>
              </w:rPr>
            </w:pPr>
          </w:p>
        </w:tc>
        <w:tc>
          <w:tcPr>
            <w:tcW w:w="13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Local Media</w:t>
            </w:r>
          </w:p>
        </w:tc>
        <w:tc>
          <w:tcPr>
            <w:tcW w:w="154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color w:val="auto"/>
                <w:w w:val="99"/>
              </w:rPr>
              <w:t>Scripps Networks</w:t>
            </w:r>
          </w:p>
        </w:tc>
        <w:tc>
          <w:tcPr>
            <w:tcW w:w="500" w:type="dxa"/>
            <w:vAlign w:val="bottom"/>
          </w:tcPr>
          <w:p>
            <w:pPr>
              <w:spacing w:after="0"/>
              <w:rPr>
                <w:sz w:val="19"/>
                <w:szCs w:val="19"/>
                <w:color w:val="auto"/>
              </w:rPr>
            </w:pPr>
          </w:p>
        </w:tc>
        <w:tc>
          <w:tcPr>
            <w:tcW w:w="94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w w:val="99"/>
              </w:rPr>
              <w:t>Total</w:t>
            </w:r>
          </w:p>
        </w:tc>
      </w:tr>
      <w:tr>
        <w:trPr>
          <w:trHeight w:val="34"/>
        </w:trPr>
        <w:tc>
          <w:tcPr>
            <w:tcW w:w="662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top w:val="single" w:sz="8" w:color="auto"/>
            </w:tcBorders>
          </w:tcPr>
          <w:p>
            <w:pPr>
              <w:spacing w:after="0"/>
              <w:rPr>
                <w:sz w:val="2"/>
                <w:szCs w:val="2"/>
                <w:color w:val="auto"/>
              </w:rPr>
            </w:pPr>
          </w:p>
        </w:tc>
        <w:tc>
          <w:tcPr>
            <w:tcW w:w="124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top w:val="single" w:sz="8" w:color="auto"/>
            </w:tcBorders>
          </w:tcPr>
          <w:p>
            <w:pPr>
              <w:spacing w:after="0"/>
              <w:rPr>
                <w:sz w:val="2"/>
                <w:szCs w:val="2"/>
                <w:color w:val="auto"/>
              </w:rPr>
            </w:pPr>
          </w:p>
        </w:tc>
        <w:tc>
          <w:tcPr>
            <w:tcW w:w="9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Borders>
              <w:top w:val="single" w:sz="8" w:color="auto"/>
            </w:tcBorders>
          </w:tcPr>
          <w:p>
            <w:pPr>
              <w:spacing w:after="0"/>
              <w:rPr>
                <w:sz w:val="2"/>
                <w:szCs w:val="2"/>
                <w:color w:val="auto"/>
              </w:rPr>
            </w:pPr>
          </w:p>
        </w:tc>
        <w:tc>
          <w:tcPr>
            <w:tcW w:w="940" w:type="dxa"/>
            <w:vAlign w:val="bottom"/>
            <w:tcBorders>
              <w:top w:val="single" w:sz="8" w:color="auto"/>
            </w:tcBorders>
          </w:tcPr>
          <w:p>
            <w:pPr>
              <w:spacing w:after="0"/>
              <w:rPr>
                <w:sz w:val="2"/>
                <w:szCs w:val="2"/>
                <w:color w:val="auto"/>
              </w:rPr>
            </w:pPr>
          </w:p>
        </w:tc>
      </w:tr>
      <w:tr>
        <w:trPr>
          <w:trHeight w:val="230"/>
        </w:trPr>
        <w:tc>
          <w:tcPr>
            <w:tcW w:w="6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 from external customers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330,072</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205,765</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535,837</w:t>
            </w:r>
          </w:p>
        </w:tc>
      </w:tr>
      <w:tr>
        <w:trPr>
          <w:trHeight w:val="229"/>
        </w:trPr>
        <w:tc>
          <w:tcPr>
            <w:tcW w:w="6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Intersegment revenues</w:t>
            </w: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4,694</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4,694</w:t>
            </w:r>
          </w:p>
        </w:tc>
      </w:tr>
      <w:tr>
        <w:trPr>
          <w:trHeight w:val="223"/>
        </w:trPr>
        <w:tc>
          <w:tcPr>
            <w:tcW w:w="674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Reportable segments revenues</w:t>
            </w:r>
          </w:p>
        </w:tc>
        <w:tc>
          <w:tcPr>
            <w:tcW w:w="180" w:type="dxa"/>
            <w:vAlign w:val="bottom"/>
            <w:tcBorders>
              <w:top w:val="single" w:sz="8" w:color="auto"/>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334,766</w:t>
            </w:r>
          </w:p>
        </w:tc>
        <w:tc>
          <w:tcPr>
            <w:tcW w:w="10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205,765</w:t>
            </w:r>
          </w:p>
        </w:tc>
        <w:tc>
          <w:tcPr>
            <w:tcW w:w="100" w:type="dxa"/>
            <w:vAlign w:val="bottom"/>
            <w:tcBorders>
              <w:top w:val="single" w:sz="8" w:color="CCEEFF"/>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540,531</w:t>
            </w:r>
          </w:p>
        </w:tc>
      </w:tr>
      <w:tr>
        <w:trPr>
          <w:trHeight w:val="229"/>
        </w:trPr>
        <w:tc>
          <w:tcPr>
            <w:tcW w:w="674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Other revenues</w:t>
            </w:r>
            <w:r>
              <w:rPr>
                <w:rFonts w:ascii="Times New Roman" w:cs="Times New Roman" w:eastAsia="Times New Roman" w:hAnsi="Times New Roman"/>
                <w:sz w:val="23"/>
                <w:szCs w:val="23"/>
                <w:color w:val="auto"/>
                <w:vertAlign w:val="superscript"/>
              </w:rPr>
              <w:t>(a)</w:t>
            </w:r>
          </w:p>
        </w:tc>
        <w:tc>
          <w:tcPr>
            <w:tcW w:w="1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4,243</w:t>
            </w:r>
          </w:p>
        </w:tc>
      </w:tr>
      <w:tr>
        <w:trPr>
          <w:trHeight w:val="230"/>
        </w:trPr>
        <w:tc>
          <w:tcPr>
            <w:tcW w:w="6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Intersegment eliminations</w:t>
            </w: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(4,694)</w:t>
            </w:r>
          </w:p>
        </w:tc>
      </w:tr>
      <w:tr>
        <w:trPr>
          <w:trHeight w:val="223"/>
        </w:trPr>
        <w:tc>
          <w:tcPr>
            <w:tcW w:w="6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consolidated operating revenues</w:t>
            </w:r>
          </w:p>
        </w:tc>
        <w:tc>
          <w:tcPr>
            <w:tcW w:w="1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540,080</w:t>
            </w:r>
          </w:p>
        </w:tc>
      </w:tr>
      <w:tr>
        <w:trPr>
          <w:trHeight w:val="20"/>
        </w:trPr>
        <w:tc>
          <w:tcPr>
            <w:tcW w:w="66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197"/>
        </w:trPr>
        <w:tc>
          <w:tcPr>
            <w:tcW w:w="6740" w:type="dxa"/>
            <w:vAlign w:val="bottom"/>
            <w:gridSpan w:val="2"/>
            <w:shd w:val="clear" w:color="auto" w:fill="CCEEFF"/>
          </w:tcPr>
          <w:p>
            <w:pPr>
              <w:ind w:left="20"/>
              <w:spacing w:after="0" w:line="197" w:lineRule="exact"/>
              <w:rPr>
                <w:sz w:val="20"/>
                <w:szCs w:val="20"/>
                <w:color w:val="auto"/>
              </w:rPr>
            </w:pPr>
            <w:r>
              <w:rPr>
                <w:rFonts w:ascii="Times New Roman" w:cs="Times New Roman" w:eastAsia="Times New Roman" w:hAnsi="Times New Roman"/>
                <w:sz w:val="17"/>
                <w:szCs w:val="17"/>
                <w:color w:val="auto"/>
              </w:rPr>
              <w:t>Less:</w:t>
            </w:r>
            <w:r>
              <w:rPr>
                <w:rFonts w:ascii="Times New Roman" w:cs="Times New Roman" w:eastAsia="Times New Roman" w:hAnsi="Times New Roman"/>
                <w:sz w:val="22"/>
                <w:szCs w:val="22"/>
                <w:color w:val="auto"/>
                <w:vertAlign w:val="superscript"/>
              </w:rPr>
              <w:t>(b)</w:t>
            </w:r>
          </w:p>
        </w:tc>
        <w:tc>
          <w:tcPr>
            <w:tcW w:w="1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r>
      <w:tr>
        <w:trPr>
          <w:trHeight w:val="229"/>
        </w:trPr>
        <w:tc>
          <w:tcPr>
            <w:tcW w:w="67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Employee compensation and benefits</w:t>
            </w: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104,315</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21,956</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30"/>
        </w:trPr>
        <w:tc>
          <w:tcPr>
            <w:tcW w:w="6740" w:type="dxa"/>
            <w:vAlign w:val="bottom"/>
            <w:gridSpan w:val="2"/>
            <w:shd w:val="clear" w:color="auto" w:fill="CCEEFF"/>
          </w:tcPr>
          <w:p>
            <w:pPr>
              <w:ind w:left="220"/>
              <w:spacing w:after="0" w:line="230" w:lineRule="exact"/>
              <w:rPr>
                <w:sz w:val="20"/>
                <w:szCs w:val="20"/>
                <w:color w:val="auto"/>
              </w:rPr>
            </w:pPr>
            <w:r>
              <w:rPr>
                <w:rFonts w:ascii="Times New Roman" w:cs="Times New Roman" w:eastAsia="Times New Roman" w:hAnsi="Times New Roman"/>
                <w:sz w:val="18"/>
                <w:szCs w:val="18"/>
                <w:color w:val="auto"/>
              </w:rPr>
              <w:t>Programming</w:t>
            </w:r>
            <w:r>
              <w:rPr>
                <w:rFonts w:ascii="Times New Roman" w:cs="Times New Roman" w:eastAsia="Times New Roman" w:hAnsi="Times New Roman"/>
                <w:sz w:val="23"/>
                <w:szCs w:val="23"/>
                <w:color w:val="auto"/>
                <w:vertAlign w:val="superscript"/>
              </w:rPr>
              <w:t>(c)</w:t>
            </w: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129,153</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88,837</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29"/>
        </w:trPr>
        <w:tc>
          <w:tcPr>
            <w:tcW w:w="6740" w:type="dxa"/>
            <w:vAlign w:val="bottom"/>
            <w:tcBorders>
              <w:bottom w:val="single" w:sz="8" w:color="CCEEFF"/>
            </w:tcBorders>
            <w:gridSpan w:val="2"/>
          </w:tcPr>
          <w:p>
            <w:pPr>
              <w:ind w:left="200"/>
              <w:spacing w:after="0" w:line="230" w:lineRule="exact"/>
              <w:rPr>
                <w:sz w:val="20"/>
                <w:szCs w:val="20"/>
                <w:color w:val="auto"/>
              </w:rPr>
            </w:pPr>
            <w:r>
              <w:rPr>
                <w:rFonts w:ascii="Times New Roman" w:cs="Times New Roman" w:eastAsia="Times New Roman" w:hAnsi="Times New Roman"/>
                <w:sz w:val="18"/>
                <w:szCs w:val="18"/>
                <w:color w:val="auto"/>
              </w:rPr>
              <w:t>Other segment items</w:t>
            </w:r>
            <w:r>
              <w:rPr>
                <w:rFonts w:ascii="Times New Roman" w:cs="Times New Roman" w:eastAsia="Times New Roman" w:hAnsi="Times New Roman"/>
                <w:sz w:val="23"/>
                <w:szCs w:val="23"/>
                <w:color w:val="auto"/>
                <w:vertAlign w:val="superscript"/>
              </w:rPr>
              <w:t>(d)</w:t>
            </w:r>
          </w:p>
        </w:tc>
        <w:tc>
          <w:tcPr>
            <w:tcW w:w="1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45,477</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39,024</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r>
      <w:tr>
        <w:trPr>
          <w:trHeight w:val="223"/>
        </w:trPr>
        <w:tc>
          <w:tcPr>
            <w:tcW w:w="6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profit for reportable segments</w:t>
            </w: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55,821</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55,948</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111,769</w:t>
            </w:r>
          </w:p>
        </w:tc>
      </w:tr>
      <w:tr>
        <w:trPr>
          <w:trHeight w:val="229"/>
        </w:trPr>
        <w:tc>
          <w:tcPr>
            <w:tcW w:w="674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Other segment profit (loss)</w:t>
            </w:r>
            <w:r>
              <w:rPr>
                <w:rFonts w:ascii="Times New Roman" w:cs="Times New Roman" w:eastAsia="Times New Roman" w:hAnsi="Times New Roman"/>
                <w:sz w:val="23"/>
                <w:szCs w:val="23"/>
                <w:color w:val="auto"/>
                <w:vertAlign w:val="superscript"/>
              </w:rPr>
              <w:t>(a)</w:t>
            </w:r>
          </w:p>
        </w:tc>
        <w:tc>
          <w:tcPr>
            <w:tcW w:w="1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(6,979)</w:t>
            </w:r>
          </w:p>
        </w:tc>
      </w:tr>
      <w:tr>
        <w:trPr>
          <w:trHeight w:val="229"/>
        </w:trPr>
        <w:tc>
          <w:tcPr>
            <w:tcW w:w="6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Shared services and corporate</w:t>
            </w: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(21,785)</w:t>
            </w:r>
          </w:p>
        </w:tc>
      </w:tr>
      <w:tr>
        <w:trPr>
          <w:trHeight w:val="230"/>
        </w:trPr>
        <w:tc>
          <w:tcPr>
            <w:tcW w:w="6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Restructuring costs</w:t>
            </w:r>
          </w:p>
        </w:tc>
        <w:tc>
          <w:tcPr>
            <w:tcW w:w="1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(613)</w:t>
            </w:r>
          </w:p>
        </w:tc>
      </w:tr>
      <w:tr>
        <w:trPr>
          <w:trHeight w:val="229"/>
        </w:trPr>
        <w:tc>
          <w:tcPr>
            <w:tcW w:w="6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 of intangible assets</w:t>
            </w: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(37,198)</w:t>
            </w:r>
          </w:p>
        </w:tc>
      </w:tr>
      <w:tr>
        <w:trPr>
          <w:trHeight w:val="230"/>
        </w:trPr>
        <w:tc>
          <w:tcPr>
            <w:tcW w:w="6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Gains (losses), net on disposal of property and equipment</w:t>
            </w:r>
          </w:p>
        </w:tc>
        <w:tc>
          <w:tcPr>
            <w:tcW w:w="1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31,410</w:t>
            </w:r>
          </w:p>
        </w:tc>
      </w:tr>
      <w:tr>
        <w:trPr>
          <w:trHeight w:val="229"/>
        </w:trPr>
        <w:tc>
          <w:tcPr>
            <w:tcW w:w="6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(58,653)</w:t>
            </w:r>
          </w:p>
        </w:tc>
      </w:tr>
      <w:tr>
        <w:trPr>
          <w:trHeight w:val="229"/>
        </w:trPr>
        <w:tc>
          <w:tcPr>
            <w:tcW w:w="6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1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(2,972)</w:t>
            </w:r>
          </w:p>
        </w:tc>
      </w:tr>
      <w:tr>
        <w:trPr>
          <w:trHeight w:val="230"/>
        </w:trPr>
        <w:tc>
          <w:tcPr>
            <w:tcW w:w="6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financing transaction costs</w:t>
            </w: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(38,071)</w:t>
            </w:r>
          </w:p>
        </w:tc>
      </w:tr>
      <w:tr>
        <w:trPr>
          <w:trHeight w:val="229"/>
        </w:trPr>
        <w:tc>
          <w:tcPr>
            <w:tcW w:w="6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Defined benefit pension plan income (expense)</w:t>
            </w:r>
          </w:p>
        </w:tc>
        <w:tc>
          <w:tcPr>
            <w:tcW w:w="1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w:t>
            </w:r>
          </w:p>
        </w:tc>
      </w:tr>
      <w:tr>
        <w:trPr>
          <w:trHeight w:val="229"/>
        </w:trPr>
        <w:tc>
          <w:tcPr>
            <w:tcW w:w="6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Miscellaneous, net</w:t>
            </w: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(1,683)</w:t>
            </w:r>
          </w:p>
        </w:tc>
      </w:tr>
      <w:tr>
        <w:trPr>
          <w:trHeight w:val="223"/>
        </w:trPr>
        <w:tc>
          <w:tcPr>
            <w:tcW w:w="6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Income (loss) from operations before income taxes</w:t>
            </w:r>
          </w:p>
        </w:tc>
        <w:tc>
          <w:tcPr>
            <w:tcW w:w="1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(25,112)</w:t>
            </w:r>
          </w:p>
        </w:tc>
      </w:tr>
      <w:tr>
        <w:trPr>
          <w:trHeight w:val="20"/>
        </w:trPr>
        <w:tc>
          <w:tcPr>
            <w:tcW w:w="6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72" w:lineRule="exact"/>
        <w:rPr>
          <w:sz w:val="20"/>
          <w:szCs w:val="20"/>
          <w:color w:val="auto"/>
        </w:rPr>
      </w:pPr>
    </w:p>
    <w:p>
      <w:pPr>
        <w:jc w:val="both"/>
        <w:ind w:right="100" w:firstLine="8"/>
        <w:spacing w:after="0" w:line="261" w:lineRule="auto"/>
        <w:tabs>
          <w:tab w:leader="none" w:pos="196"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Reflects revenues and profit (loss) from operating segments below the reportable quantitative thresholds. These operating segments include our Tablo business, the Scripps National Spelling Bee and operational aspects of the Scripps News and Scripps Sports business units. None of these operating segments have ever met any of the quantitative thresholds for determining reportable segments.</w:t>
      </w:r>
    </w:p>
    <w:p>
      <w:pPr>
        <w:ind w:left="220" w:hanging="212"/>
        <w:spacing w:after="0"/>
        <w:tabs>
          <w:tab w:leader="none" w:pos="2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significant expense categories and amounts align with the segment-level information that is regularly provided to the chief operating decision maker.</w:t>
      </w:r>
    </w:p>
    <w:p>
      <w:pPr>
        <w:spacing w:after="0" w:line="14" w:lineRule="exact"/>
        <w:rPr>
          <w:rFonts w:ascii="Times New Roman" w:cs="Times New Roman" w:eastAsia="Times New Roman" w:hAnsi="Times New Roman"/>
          <w:sz w:val="14"/>
          <w:szCs w:val="14"/>
          <w:color w:val="auto"/>
        </w:rPr>
      </w:pPr>
    </w:p>
    <w:p>
      <w:pPr>
        <w:ind w:right="280" w:firstLine="8"/>
        <w:spacing w:after="0" w:line="254" w:lineRule="auto"/>
        <w:tabs>
          <w:tab w:leader="none" w:pos="196"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Programming includes the cost of national television network programming, carriage agreements with local television broadcasters, programming produced by us or for us by independent production companies, rights acquired under multi-year sports programming agreements and programs licensed under agreements with independent producers.</w:t>
      </w:r>
    </w:p>
    <w:p>
      <w:pPr>
        <w:ind w:left="220" w:hanging="212"/>
        <w:spacing w:after="0"/>
        <w:tabs>
          <w:tab w:leader="none" w:pos="2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segment items for each reportable segment includes marketing and advertising expenses, research costs, certain occupancy costs and other administrative costs.</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4" w:name="page25"/>
    <w:bookmarkEnd w:id="24"/>
    <w:tbl>
      <w:tblPr>
        <w:tblLayout w:type="fixed"/>
        <w:tblInd w:w="0" w:type="dxa"/>
        <w:tblCellMar>
          <w:top w:w="0" w:type="dxa"/>
          <w:left w:w="0" w:type="dxa"/>
          <w:bottom w:w="0" w:type="dxa"/>
          <w:right w:w="0" w:type="dxa"/>
        </w:tblCellMar>
      </w:tblPr>
      <w:tr>
        <w:trPr>
          <w:trHeight w:val="234"/>
        </w:trPr>
        <w:tc>
          <w:tcPr>
            <w:tcW w:w="6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3380" w:type="dxa"/>
            <w:vAlign w:val="bottom"/>
            <w:tcBorders>
              <w:bottom w:val="single" w:sz="8" w:color="auto"/>
            </w:tcBorders>
            <w:gridSpan w:val="6"/>
          </w:tcPr>
          <w:p>
            <w:pPr>
              <w:jc w:val="center"/>
              <w:ind w:left="650"/>
              <w:spacing w:after="0"/>
              <w:rPr>
                <w:sz w:val="20"/>
                <w:szCs w:val="20"/>
                <w:color w:val="auto"/>
              </w:rPr>
            </w:pPr>
            <w:r>
              <w:rPr>
                <w:rFonts w:ascii="Times New Roman" w:cs="Times New Roman" w:eastAsia="Times New Roman" w:hAnsi="Times New Roman"/>
                <w:sz w:val="18"/>
                <w:szCs w:val="18"/>
                <w:color w:val="auto"/>
                <w:w w:val="99"/>
              </w:rPr>
              <w:t>Three Months Ended June 30, 2024</w:t>
            </w:r>
          </w:p>
        </w:tc>
        <w:tc>
          <w:tcPr>
            <w:tcW w:w="940" w:type="dxa"/>
            <w:vAlign w:val="bottom"/>
            <w:tcBorders>
              <w:bottom w:val="single" w:sz="8" w:color="auto"/>
            </w:tcBorders>
          </w:tcPr>
          <w:p>
            <w:pPr>
              <w:spacing w:after="0"/>
              <w:rPr>
                <w:sz w:val="20"/>
                <w:szCs w:val="20"/>
                <w:color w:val="auto"/>
              </w:rPr>
            </w:pPr>
          </w:p>
        </w:tc>
      </w:tr>
      <w:tr>
        <w:trPr>
          <w:trHeight w:val="223"/>
        </w:trPr>
        <w:tc>
          <w:tcPr>
            <w:tcW w:w="6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180" w:type="dxa"/>
            <w:vAlign w:val="bottom"/>
          </w:tcPr>
          <w:p>
            <w:pPr>
              <w:spacing w:after="0"/>
              <w:rPr>
                <w:sz w:val="19"/>
                <w:szCs w:val="19"/>
                <w:color w:val="auto"/>
              </w:rPr>
            </w:pPr>
          </w:p>
        </w:tc>
        <w:tc>
          <w:tcPr>
            <w:tcW w:w="13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Local Media</w:t>
            </w:r>
          </w:p>
        </w:tc>
        <w:tc>
          <w:tcPr>
            <w:tcW w:w="154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color w:val="auto"/>
                <w:w w:val="99"/>
              </w:rPr>
              <w:t>Scripps Networks</w:t>
            </w:r>
          </w:p>
        </w:tc>
        <w:tc>
          <w:tcPr>
            <w:tcW w:w="500" w:type="dxa"/>
            <w:vAlign w:val="bottom"/>
          </w:tcPr>
          <w:p>
            <w:pPr>
              <w:spacing w:after="0"/>
              <w:rPr>
                <w:sz w:val="19"/>
                <w:szCs w:val="19"/>
                <w:color w:val="auto"/>
              </w:rPr>
            </w:pPr>
          </w:p>
        </w:tc>
        <w:tc>
          <w:tcPr>
            <w:tcW w:w="94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w w:val="99"/>
              </w:rPr>
              <w:t>Total</w:t>
            </w:r>
          </w:p>
        </w:tc>
      </w:tr>
      <w:tr>
        <w:trPr>
          <w:trHeight w:val="34"/>
        </w:trPr>
        <w:tc>
          <w:tcPr>
            <w:tcW w:w="662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top w:val="single" w:sz="8" w:color="auto"/>
            </w:tcBorders>
          </w:tcPr>
          <w:p>
            <w:pPr>
              <w:spacing w:after="0"/>
              <w:rPr>
                <w:sz w:val="2"/>
                <w:szCs w:val="2"/>
                <w:color w:val="auto"/>
              </w:rPr>
            </w:pPr>
          </w:p>
        </w:tc>
        <w:tc>
          <w:tcPr>
            <w:tcW w:w="124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top w:val="single" w:sz="8" w:color="auto"/>
            </w:tcBorders>
          </w:tcPr>
          <w:p>
            <w:pPr>
              <w:spacing w:after="0"/>
              <w:rPr>
                <w:sz w:val="2"/>
                <w:szCs w:val="2"/>
                <w:color w:val="auto"/>
              </w:rPr>
            </w:pPr>
          </w:p>
        </w:tc>
        <w:tc>
          <w:tcPr>
            <w:tcW w:w="9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Borders>
              <w:top w:val="single" w:sz="8" w:color="auto"/>
            </w:tcBorders>
          </w:tcPr>
          <w:p>
            <w:pPr>
              <w:spacing w:after="0"/>
              <w:rPr>
                <w:sz w:val="2"/>
                <w:szCs w:val="2"/>
                <w:color w:val="auto"/>
              </w:rPr>
            </w:pPr>
          </w:p>
        </w:tc>
        <w:tc>
          <w:tcPr>
            <w:tcW w:w="940" w:type="dxa"/>
            <w:vAlign w:val="bottom"/>
            <w:tcBorders>
              <w:top w:val="single" w:sz="8" w:color="auto"/>
            </w:tcBorders>
          </w:tcPr>
          <w:p>
            <w:pPr>
              <w:spacing w:after="0"/>
              <w:rPr>
                <w:sz w:val="2"/>
                <w:szCs w:val="2"/>
                <w:color w:val="auto"/>
              </w:rPr>
            </w:pPr>
          </w:p>
        </w:tc>
      </w:tr>
      <w:tr>
        <w:trPr>
          <w:trHeight w:val="230"/>
        </w:trPr>
        <w:tc>
          <w:tcPr>
            <w:tcW w:w="6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 from external customers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360,163</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208,720</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568,883</w:t>
            </w:r>
          </w:p>
        </w:tc>
      </w:tr>
      <w:tr>
        <w:trPr>
          <w:trHeight w:val="229"/>
        </w:trPr>
        <w:tc>
          <w:tcPr>
            <w:tcW w:w="6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Intersegment revenues</w:t>
            </w: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4,763</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4,763</w:t>
            </w:r>
          </w:p>
        </w:tc>
      </w:tr>
      <w:tr>
        <w:trPr>
          <w:trHeight w:val="223"/>
        </w:trPr>
        <w:tc>
          <w:tcPr>
            <w:tcW w:w="674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Reportable segments revenues</w:t>
            </w:r>
          </w:p>
        </w:tc>
        <w:tc>
          <w:tcPr>
            <w:tcW w:w="180" w:type="dxa"/>
            <w:vAlign w:val="bottom"/>
            <w:tcBorders>
              <w:top w:val="single" w:sz="8" w:color="auto"/>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364,926</w:t>
            </w:r>
          </w:p>
        </w:tc>
        <w:tc>
          <w:tcPr>
            <w:tcW w:w="10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208,720</w:t>
            </w:r>
          </w:p>
        </w:tc>
        <w:tc>
          <w:tcPr>
            <w:tcW w:w="100" w:type="dxa"/>
            <w:vAlign w:val="bottom"/>
            <w:tcBorders>
              <w:top w:val="single" w:sz="8" w:color="CCEEFF"/>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573,646</w:t>
            </w:r>
          </w:p>
        </w:tc>
      </w:tr>
      <w:tr>
        <w:trPr>
          <w:trHeight w:val="229"/>
        </w:trPr>
        <w:tc>
          <w:tcPr>
            <w:tcW w:w="674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Other revenues</w:t>
            </w:r>
            <w:r>
              <w:rPr>
                <w:rFonts w:ascii="Times New Roman" w:cs="Times New Roman" w:eastAsia="Times New Roman" w:hAnsi="Times New Roman"/>
                <w:sz w:val="23"/>
                <w:szCs w:val="23"/>
                <w:color w:val="auto"/>
                <w:vertAlign w:val="superscript"/>
              </w:rPr>
              <w:t>(a)</w:t>
            </w:r>
          </w:p>
        </w:tc>
        <w:tc>
          <w:tcPr>
            <w:tcW w:w="1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4,746</w:t>
            </w:r>
          </w:p>
        </w:tc>
      </w:tr>
      <w:tr>
        <w:trPr>
          <w:trHeight w:val="229"/>
        </w:trPr>
        <w:tc>
          <w:tcPr>
            <w:tcW w:w="6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Intersegment eliminations</w:t>
            </w: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(4,763)</w:t>
            </w:r>
          </w:p>
        </w:tc>
      </w:tr>
      <w:tr>
        <w:trPr>
          <w:trHeight w:val="223"/>
        </w:trPr>
        <w:tc>
          <w:tcPr>
            <w:tcW w:w="6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consolidated operating revenues</w:t>
            </w:r>
          </w:p>
        </w:tc>
        <w:tc>
          <w:tcPr>
            <w:tcW w:w="1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573,629</w:t>
            </w:r>
          </w:p>
        </w:tc>
      </w:tr>
      <w:tr>
        <w:trPr>
          <w:trHeight w:val="20"/>
        </w:trPr>
        <w:tc>
          <w:tcPr>
            <w:tcW w:w="66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197"/>
        </w:trPr>
        <w:tc>
          <w:tcPr>
            <w:tcW w:w="6740" w:type="dxa"/>
            <w:vAlign w:val="bottom"/>
            <w:gridSpan w:val="2"/>
            <w:shd w:val="clear" w:color="auto" w:fill="CCEEFF"/>
          </w:tcPr>
          <w:p>
            <w:pPr>
              <w:ind w:left="20"/>
              <w:spacing w:after="0" w:line="197" w:lineRule="exact"/>
              <w:rPr>
                <w:sz w:val="20"/>
                <w:szCs w:val="20"/>
                <w:color w:val="auto"/>
              </w:rPr>
            </w:pPr>
            <w:r>
              <w:rPr>
                <w:rFonts w:ascii="Times New Roman" w:cs="Times New Roman" w:eastAsia="Times New Roman" w:hAnsi="Times New Roman"/>
                <w:sz w:val="17"/>
                <w:szCs w:val="17"/>
                <w:color w:val="auto"/>
              </w:rPr>
              <w:t>Less:</w:t>
            </w:r>
            <w:r>
              <w:rPr>
                <w:rFonts w:ascii="Times New Roman" w:cs="Times New Roman" w:eastAsia="Times New Roman" w:hAnsi="Times New Roman"/>
                <w:sz w:val="22"/>
                <w:szCs w:val="22"/>
                <w:color w:val="auto"/>
                <w:vertAlign w:val="superscript"/>
              </w:rPr>
              <w:t>(b)</w:t>
            </w:r>
          </w:p>
        </w:tc>
        <w:tc>
          <w:tcPr>
            <w:tcW w:w="1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r>
      <w:tr>
        <w:trPr>
          <w:trHeight w:val="229"/>
        </w:trPr>
        <w:tc>
          <w:tcPr>
            <w:tcW w:w="6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Employee compensation and benefits</w:t>
            </w: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105,569</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29,781</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30"/>
        </w:trPr>
        <w:tc>
          <w:tcPr>
            <w:tcW w:w="6740" w:type="dxa"/>
            <w:vAlign w:val="bottom"/>
            <w:gridSpan w:val="2"/>
            <w:shd w:val="clear" w:color="auto" w:fill="CCEEFF"/>
          </w:tcPr>
          <w:p>
            <w:pPr>
              <w:ind w:left="220"/>
              <w:spacing w:after="0" w:line="230" w:lineRule="exact"/>
              <w:rPr>
                <w:sz w:val="20"/>
                <w:szCs w:val="20"/>
                <w:color w:val="auto"/>
              </w:rPr>
            </w:pPr>
            <w:r>
              <w:rPr>
                <w:rFonts w:ascii="Times New Roman" w:cs="Times New Roman" w:eastAsia="Times New Roman" w:hAnsi="Times New Roman"/>
                <w:sz w:val="18"/>
                <w:szCs w:val="18"/>
                <w:color w:val="auto"/>
              </w:rPr>
              <w:t>Programming</w:t>
            </w:r>
            <w:r>
              <w:rPr>
                <w:rFonts w:ascii="Times New Roman" w:cs="Times New Roman" w:eastAsia="Times New Roman" w:hAnsi="Times New Roman"/>
                <w:sz w:val="23"/>
                <w:szCs w:val="23"/>
                <w:color w:val="auto"/>
                <w:vertAlign w:val="superscript"/>
              </w:rPr>
              <w:t>(c)</w:t>
            </w: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123,112</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98,474</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29"/>
        </w:trPr>
        <w:tc>
          <w:tcPr>
            <w:tcW w:w="6740" w:type="dxa"/>
            <w:vAlign w:val="bottom"/>
            <w:tcBorders>
              <w:bottom w:val="single" w:sz="8" w:color="CCEEFF"/>
            </w:tcBorders>
            <w:gridSpan w:val="2"/>
          </w:tcPr>
          <w:p>
            <w:pPr>
              <w:ind w:left="200"/>
              <w:spacing w:after="0" w:line="230" w:lineRule="exact"/>
              <w:rPr>
                <w:sz w:val="20"/>
                <w:szCs w:val="20"/>
                <w:color w:val="auto"/>
              </w:rPr>
            </w:pPr>
            <w:r>
              <w:rPr>
                <w:rFonts w:ascii="Times New Roman" w:cs="Times New Roman" w:eastAsia="Times New Roman" w:hAnsi="Times New Roman"/>
                <w:sz w:val="18"/>
                <w:szCs w:val="18"/>
                <w:color w:val="auto"/>
              </w:rPr>
              <w:t>Other segment items</w:t>
            </w:r>
            <w:r>
              <w:rPr>
                <w:rFonts w:ascii="Times New Roman" w:cs="Times New Roman" w:eastAsia="Times New Roman" w:hAnsi="Times New Roman"/>
                <w:sz w:val="23"/>
                <w:szCs w:val="23"/>
                <w:color w:val="auto"/>
                <w:vertAlign w:val="superscript"/>
              </w:rPr>
              <w:t>(d)</w:t>
            </w:r>
          </w:p>
        </w:tc>
        <w:tc>
          <w:tcPr>
            <w:tcW w:w="1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48,115</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42,718</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r>
      <w:tr>
        <w:trPr>
          <w:trHeight w:val="223"/>
        </w:trPr>
        <w:tc>
          <w:tcPr>
            <w:tcW w:w="6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profit for reportable segments</w:t>
            </w: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88,130</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37,747</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125,877</w:t>
            </w:r>
          </w:p>
        </w:tc>
      </w:tr>
      <w:tr>
        <w:trPr>
          <w:trHeight w:val="230"/>
        </w:trPr>
        <w:tc>
          <w:tcPr>
            <w:tcW w:w="674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Other segment profit (loss)</w:t>
            </w:r>
            <w:r>
              <w:rPr>
                <w:rFonts w:ascii="Times New Roman" w:cs="Times New Roman" w:eastAsia="Times New Roman" w:hAnsi="Times New Roman"/>
                <w:sz w:val="23"/>
                <w:szCs w:val="23"/>
                <w:color w:val="auto"/>
                <w:vertAlign w:val="superscript"/>
              </w:rPr>
              <w:t>(a)</w:t>
            </w:r>
          </w:p>
        </w:tc>
        <w:tc>
          <w:tcPr>
            <w:tcW w:w="1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(9,236)</w:t>
            </w:r>
          </w:p>
        </w:tc>
      </w:tr>
      <w:tr>
        <w:trPr>
          <w:trHeight w:val="229"/>
        </w:trPr>
        <w:tc>
          <w:tcPr>
            <w:tcW w:w="6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Shared services and corporate</w:t>
            </w: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(21,651)</w:t>
            </w:r>
          </w:p>
        </w:tc>
      </w:tr>
      <w:tr>
        <w:trPr>
          <w:trHeight w:val="230"/>
        </w:trPr>
        <w:tc>
          <w:tcPr>
            <w:tcW w:w="6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Restructuring costs</w:t>
            </w:r>
          </w:p>
        </w:tc>
        <w:tc>
          <w:tcPr>
            <w:tcW w:w="1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(973)</w:t>
            </w:r>
          </w:p>
        </w:tc>
      </w:tr>
      <w:tr>
        <w:trPr>
          <w:trHeight w:val="229"/>
        </w:trPr>
        <w:tc>
          <w:tcPr>
            <w:tcW w:w="6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 of intangible assets</w:t>
            </w: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(38,468)</w:t>
            </w:r>
          </w:p>
        </w:tc>
      </w:tr>
      <w:tr>
        <w:trPr>
          <w:trHeight w:val="229"/>
        </w:trPr>
        <w:tc>
          <w:tcPr>
            <w:tcW w:w="6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Gains (losses), net on disposal of property and equipment</w:t>
            </w:r>
          </w:p>
        </w:tc>
        <w:tc>
          <w:tcPr>
            <w:tcW w:w="1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w:t>
            </w:r>
          </w:p>
        </w:tc>
      </w:tr>
      <w:tr>
        <w:trPr>
          <w:trHeight w:val="230"/>
        </w:trPr>
        <w:tc>
          <w:tcPr>
            <w:tcW w:w="6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(52,123)</w:t>
            </w:r>
          </w:p>
        </w:tc>
      </w:tr>
      <w:tr>
        <w:trPr>
          <w:trHeight w:val="229"/>
        </w:trPr>
        <w:tc>
          <w:tcPr>
            <w:tcW w:w="6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Defined benefit pension plan income (expense)</w:t>
            </w:r>
          </w:p>
        </w:tc>
        <w:tc>
          <w:tcPr>
            <w:tcW w:w="1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w:t>
            </w:r>
          </w:p>
        </w:tc>
      </w:tr>
      <w:tr>
        <w:trPr>
          <w:trHeight w:val="230"/>
        </w:trPr>
        <w:tc>
          <w:tcPr>
            <w:tcW w:w="6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Miscellaneous, net</w:t>
            </w: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w:t>
            </w:r>
          </w:p>
        </w:tc>
      </w:tr>
      <w:tr>
        <w:trPr>
          <w:trHeight w:val="223"/>
        </w:trPr>
        <w:tc>
          <w:tcPr>
            <w:tcW w:w="6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Income (loss) from operations before income taxes</w:t>
            </w:r>
          </w:p>
        </w:tc>
        <w:tc>
          <w:tcPr>
            <w:tcW w:w="1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3,341</w:t>
            </w:r>
          </w:p>
        </w:tc>
      </w:tr>
      <w:tr>
        <w:trPr>
          <w:trHeight w:val="21"/>
        </w:trPr>
        <w:tc>
          <w:tcPr>
            <w:tcW w:w="6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72" w:lineRule="exact"/>
        <w:rPr>
          <w:sz w:val="20"/>
          <w:szCs w:val="20"/>
          <w:color w:val="auto"/>
        </w:rPr>
      </w:pPr>
    </w:p>
    <w:p>
      <w:pPr>
        <w:jc w:val="both"/>
        <w:ind w:right="100" w:firstLine="8"/>
        <w:spacing w:after="0" w:line="261" w:lineRule="auto"/>
        <w:tabs>
          <w:tab w:leader="none" w:pos="196"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Reflects revenues and profit (loss) from operating segments below the reportable quantitative thresholds. These operating segments include our Tablo business, the Scripps National Spelling Bee and operational aspects of the Scripps News and Scripps Sports business units. None of these operating segments have ever met any of the quantitative thresholds for determining reportable segments.</w:t>
      </w:r>
    </w:p>
    <w:p>
      <w:pPr>
        <w:ind w:left="220" w:hanging="212"/>
        <w:spacing w:after="0"/>
        <w:tabs>
          <w:tab w:leader="none" w:pos="2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significant expense categories and amounts align with the segment-level information that is regularly provided to the chief operating decision maker.</w:t>
      </w:r>
    </w:p>
    <w:p>
      <w:pPr>
        <w:spacing w:after="0" w:line="14" w:lineRule="exact"/>
        <w:rPr>
          <w:rFonts w:ascii="Times New Roman" w:cs="Times New Roman" w:eastAsia="Times New Roman" w:hAnsi="Times New Roman"/>
          <w:sz w:val="14"/>
          <w:szCs w:val="14"/>
          <w:color w:val="auto"/>
        </w:rPr>
      </w:pPr>
    </w:p>
    <w:p>
      <w:pPr>
        <w:ind w:right="280" w:firstLine="8"/>
        <w:spacing w:after="0" w:line="254" w:lineRule="auto"/>
        <w:tabs>
          <w:tab w:leader="none" w:pos="196"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Programming includes the cost of national television network programming, carriage agreements with local television broadcasters, programming produced by us or for us by independent production companies, rights acquired under multi-year sports programming agreements and programs licensed under agreements with independent producers.</w:t>
      </w:r>
    </w:p>
    <w:p>
      <w:pPr>
        <w:ind w:left="220" w:hanging="212"/>
        <w:spacing w:after="0"/>
        <w:tabs>
          <w:tab w:leader="none" w:pos="2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segment items for each reportable segment includes marketing and advertising expenses, research costs, certain occupancy costs and other administrative costs.</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25" w:name="page26"/>
    <w:bookmarkEnd w:id="25"/>
    <w:tbl>
      <w:tblPr>
        <w:tblLayout w:type="fixed"/>
        <w:tblInd w:w="0" w:type="dxa"/>
        <w:tblCellMar>
          <w:top w:w="0" w:type="dxa"/>
          <w:left w:w="0" w:type="dxa"/>
          <w:bottom w:w="0" w:type="dxa"/>
          <w:right w:w="0" w:type="dxa"/>
        </w:tblCellMar>
      </w:tblPr>
      <w:tr>
        <w:trPr>
          <w:trHeight w:val="234"/>
        </w:trPr>
        <w:tc>
          <w:tcPr>
            <w:tcW w:w="6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3340" w:type="dxa"/>
            <w:vAlign w:val="bottom"/>
            <w:tcBorders>
              <w:bottom w:val="single" w:sz="8" w:color="auto"/>
            </w:tcBorders>
            <w:gridSpan w:val="6"/>
          </w:tcPr>
          <w:p>
            <w:pPr>
              <w:jc w:val="center"/>
              <w:ind w:left="710"/>
              <w:spacing w:after="0"/>
              <w:rPr>
                <w:sz w:val="20"/>
                <w:szCs w:val="20"/>
                <w:color w:val="auto"/>
              </w:rPr>
            </w:pPr>
            <w:r>
              <w:rPr>
                <w:rFonts w:ascii="Times New Roman" w:cs="Times New Roman" w:eastAsia="Times New Roman" w:hAnsi="Times New Roman"/>
                <w:sz w:val="18"/>
                <w:szCs w:val="18"/>
                <w:color w:val="auto"/>
                <w:w w:val="99"/>
              </w:rPr>
              <w:t>Six Months Ended June 30, 2025</w:t>
            </w:r>
          </w:p>
        </w:tc>
        <w:tc>
          <w:tcPr>
            <w:tcW w:w="980" w:type="dxa"/>
            <w:vAlign w:val="bottom"/>
            <w:tcBorders>
              <w:bottom w:val="single" w:sz="8" w:color="auto"/>
            </w:tcBorders>
          </w:tcPr>
          <w:p>
            <w:pPr>
              <w:spacing w:after="0"/>
              <w:rPr>
                <w:sz w:val="20"/>
                <w:szCs w:val="20"/>
                <w:color w:val="auto"/>
              </w:rPr>
            </w:pPr>
          </w:p>
        </w:tc>
      </w:tr>
      <w:tr>
        <w:trPr>
          <w:trHeight w:val="223"/>
        </w:trPr>
        <w:tc>
          <w:tcPr>
            <w:tcW w:w="6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180" w:type="dxa"/>
            <w:vAlign w:val="bottom"/>
          </w:tcPr>
          <w:p>
            <w:pPr>
              <w:spacing w:after="0"/>
              <w:rPr>
                <w:sz w:val="19"/>
                <w:szCs w:val="19"/>
                <w:color w:val="auto"/>
              </w:rPr>
            </w:pPr>
          </w:p>
        </w:tc>
        <w:tc>
          <w:tcPr>
            <w:tcW w:w="13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Local Media</w:t>
            </w:r>
          </w:p>
        </w:tc>
        <w:tc>
          <w:tcPr>
            <w:tcW w:w="154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color w:val="auto"/>
                <w:w w:val="99"/>
              </w:rPr>
              <w:t>Scripps Networks</w:t>
            </w:r>
          </w:p>
        </w:tc>
        <w:tc>
          <w:tcPr>
            <w:tcW w:w="460" w:type="dxa"/>
            <w:vAlign w:val="bottom"/>
          </w:tcPr>
          <w:p>
            <w:pPr>
              <w:spacing w:after="0"/>
              <w:rPr>
                <w:sz w:val="19"/>
                <w:szCs w:val="19"/>
                <w:color w:val="auto"/>
              </w:rPr>
            </w:pPr>
          </w:p>
        </w:tc>
        <w:tc>
          <w:tcPr>
            <w:tcW w:w="98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Total</w:t>
            </w:r>
          </w:p>
        </w:tc>
      </w:tr>
      <w:tr>
        <w:trPr>
          <w:trHeight w:val="34"/>
        </w:trPr>
        <w:tc>
          <w:tcPr>
            <w:tcW w:w="662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top w:val="single" w:sz="8" w:color="auto"/>
            </w:tcBorders>
          </w:tcPr>
          <w:p>
            <w:pPr>
              <w:spacing w:after="0"/>
              <w:rPr>
                <w:sz w:val="2"/>
                <w:szCs w:val="2"/>
                <w:color w:val="auto"/>
              </w:rPr>
            </w:pPr>
          </w:p>
        </w:tc>
        <w:tc>
          <w:tcPr>
            <w:tcW w:w="124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top w:val="single" w:sz="8" w:color="auto"/>
            </w:tcBorders>
          </w:tcPr>
          <w:p>
            <w:pPr>
              <w:spacing w:after="0"/>
              <w:rPr>
                <w:sz w:val="2"/>
                <w:szCs w:val="2"/>
                <w:color w:val="auto"/>
              </w:rPr>
            </w:pPr>
          </w:p>
        </w:tc>
        <w:tc>
          <w:tcPr>
            <w:tcW w:w="9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top w:val="single" w:sz="8" w:color="auto"/>
            </w:tcBorders>
          </w:tcPr>
          <w:p>
            <w:pPr>
              <w:spacing w:after="0"/>
              <w:rPr>
                <w:sz w:val="2"/>
                <w:szCs w:val="2"/>
                <w:color w:val="auto"/>
              </w:rPr>
            </w:pPr>
          </w:p>
        </w:tc>
        <w:tc>
          <w:tcPr>
            <w:tcW w:w="980" w:type="dxa"/>
            <w:vAlign w:val="bottom"/>
            <w:tcBorders>
              <w:top w:val="single" w:sz="8" w:color="auto"/>
            </w:tcBorders>
          </w:tcPr>
          <w:p>
            <w:pPr>
              <w:spacing w:after="0"/>
              <w:rPr>
                <w:sz w:val="2"/>
                <w:szCs w:val="2"/>
                <w:color w:val="auto"/>
              </w:rPr>
            </w:pPr>
          </w:p>
        </w:tc>
      </w:tr>
      <w:tr>
        <w:trPr>
          <w:trHeight w:val="230"/>
        </w:trPr>
        <w:tc>
          <w:tcPr>
            <w:tcW w:w="6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 from external customers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650,778</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403,772</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1,054,550</w:t>
            </w:r>
          </w:p>
        </w:tc>
      </w:tr>
      <w:tr>
        <w:trPr>
          <w:trHeight w:val="229"/>
        </w:trPr>
        <w:tc>
          <w:tcPr>
            <w:tcW w:w="6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Intersegment revenues</w:t>
            </w: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9,377</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9,377</w:t>
            </w:r>
          </w:p>
        </w:tc>
      </w:tr>
      <w:tr>
        <w:trPr>
          <w:trHeight w:val="223"/>
        </w:trPr>
        <w:tc>
          <w:tcPr>
            <w:tcW w:w="674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Reportable segments revenues</w:t>
            </w:r>
          </w:p>
        </w:tc>
        <w:tc>
          <w:tcPr>
            <w:tcW w:w="180" w:type="dxa"/>
            <w:vAlign w:val="bottom"/>
            <w:tcBorders>
              <w:top w:val="single" w:sz="8" w:color="auto"/>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660,155</w:t>
            </w:r>
          </w:p>
        </w:tc>
        <w:tc>
          <w:tcPr>
            <w:tcW w:w="10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403,772</w:t>
            </w:r>
          </w:p>
        </w:tc>
        <w:tc>
          <w:tcPr>
            <w:tcW w:w="10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1,063,927</w:t>
            </w:r>
          </w:p>
        </w:tc>
      </w:tr>
      <w:tr>
        <w:trPr>
          <w:trHeight w:val="229"/>
        </w:trPr>
        <w:tc>
          <w:tcPr>
            <w:tcW w:w="674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Other revenues</w:t>
            </w:r>
            <w:r>
              <w:rPr>
                <w:rFonts w:ascii="Times New Roman" w:cs="Times New Roman" w:eastAsia="Times New Roman" w:hAnsi="Times New Roman"/>
                <w:sz w:val="23"/>
                <w:szCs w:val="23"/>
                <w:color w:val="auto"/>
                <w:vertAlign w:val="superscript"/>
              </w:rPr>
              <w:t>(a)</w:t>
            </w:r>
          </w:p>
        </w:tc>
        <w:tc>
          <w:tcPr>
            <w:tcW w:w="1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9,923</w:t>
            </w:r>
          </w:p>
        </w:tc>
      </w:tr>
      <w:tr>
        <w:trPr>
          <w:trHeight w:val="229"/>
        </w:trPr>
        <w:tc>
          <w:tcPr>
            <w:tcW w:w="6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Intersegment eliminations</w:t>
            </w: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(9,377)</w:t>
            </w:r>
          </w:p>
        </w:tc>
      </w:tr>
      <w:tr>
        <w:trPr>
          <w:trHeight w:val="223"/>
        </w:trPr>
        <w:tc>
          <w:tcPr>
            <w:tcW w:w="6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consolidated operating revenues</w:t>
            </w:r>
          </w:p>
        </w:tc>
        <w:tc>
          <w:tcPr>
            <w:tcW w:w="1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1,064,473</w:t>
            </w:r>
          </w:p>
        </w:tc>
      </w:tr>
      <w:tr>
        <w:trPr>
          <w:trHeight w:val="20"/>
        </w:trPr>
        <w:tc>
          <w:tcPr>
            <w:tcW w:w="66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197"/>
        </w:trPr>
        <w:tc>
          <w:tcPr>
            <w:tcW w:w="6740" w:type="dxa"/>
            <w:vAlign w:val="bottom"/>
            <w:gridSpan w:val="2"/>
            <w:shd w:val="clear" w:color="auto" w:fill="CCEEFF"/>
          </w:tcPr>
          <w:p>
            <w:pPr>
              <w:ind w:left="20"/>
              <w:spacing w:after="0" w:line="197" w:lineRule="exact"/>
              <w:rPr>
                <w:sz w:val="20"/>
                <w:szCs w:val="20"/>
                <w:color w:val="auto"/>
              </w:rPr>
            </w:pPr>
            <w:r>
              <w:rPr>
                <w:rFonts w:ascii="Times New Roman" w:cs="Times New Roman" w:eastAsia="Times New Roman" w:hAnsi="Times New Roman"/>
                <w:sz w:val="17"/>
                <w:szCs w:val="17"/>
                <w:color w:val="auto"/>
              </w:rPr>
              <w:t>Less:</w:t>
            </w:r>
            <w:r>
              <w:rPr>
                <w:rFonts w:ascii="Times New Roman" w:cs="Times New Roman" w:eastAsia="Times New Roman" w:hAnsi="Times New Roman"/>
                <w:sz w:val="22"/>
                <w:szCs w:val="22"/>
                <w:color w:val="auto"/>
                <w:vertAlign w:val="superscript"/>
              </w:rPr>
              <w:t>(b)</w:t>
            </w:r>
          </w:p>
        </w:tc>
        <w:tc>
          <w:tcPr>
            <w:tcW w:w="1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r>
      <w:tr>
        <w:trPr>
          <w:trHeight w:val="229"/>
        </w:trPr>
        <w:tc>
          <w:tcPr>
            <w:tcW w:w="67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Employee compensation and benefits</w:t>
            </w: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209,484</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42,829</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30"/>
        </w:trPr>
        <w:tc>
          <w:tcPr>
            <w:tcW w:w="6740" w:type="dxa"/>
            <w:vAlign w:val="bottom"/>
            <w:gridSpan w:val="2"/>
            <w:shd w:val="clear" w:color="auto" w:fill="CCEEFF"/>
          </w:tcPr>
          <w:p>
            <w:pPr>
              <w:ind w:left="220"/>
              <w:spacing w:after="0" w:line="230" w:lineRule="exact"/>
              <w:rPr>
                <w:sz w:val="20"/>
                <w:szCs w:val="20"/>
                <w:color w:val="auto"/>
              </w:rPr>
            </w:pPr>
            <w:r>
              <w:rPr>
                <w:rFonts w:ascii="Times New Roman" w:cs="Times New Roman" w:eastAsia="Times New Roman" w:hAnsi="Times New Roman"/>
                <w:sz w:val="18"/>
                <w:szCs w:val="18"/>
                <w:color w:val="auto"/>
              </w:rPr>
              <w:t>Programming</w:t>
            </w:r>
            <w:r>
              <w:rPr>
                <w:rFonts w:ascii="Times New Roman" w:cs="Times New Roman" w:eastAsia="Times New Roman" w:hAnsi="Times New Roman"/>
                <w:sz w:val="23"/>
                <w:szCs w:val="23"/>
                <w:color w:val="auto"/>
                <w:vertAlign w:val="superscript"/>
              </w:rPr>
              <w:t>(c)</w:t>
            </w: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268,850</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165,247</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29"/>
        </w:trPr>
        <w:tc>
          <w:tcPr>
            <w:tcW w:w="6740" w:type="dxa"/>
            <w:vAlign w:val="bottom"/>
            <w:tcBorders>
              <w:bottom w:val="single" w:sz="8" w:color="CCEEFF"/>
            </w:tcBorders>
            <w:gridSpan w:val="2"/>
          </w:tcPr>
          <w:p>
            <w:pPr>
              <w:ind w:left="200"/>
              <w:spacing w:after="0" w:line="230" w:lineRule="exact"/>
              <w:rPr>
                <w:sz w:val="20"/>
                <w:szCs w:val="20"/>
                <w:color w:val="auto"/>
              </w:rPr>
            </w:pPr>
            <w:r>
              <w:rPr>
                <w:rFonts w:ascii="Times New Roman" w:cs="Times New Roman" w:eastAsia="Times New Roman" w:hAnsi="Times New Roman"/>
                <w:sz w:val="18"/>
                <w:szCs w:val="18"/>
                <w:color w:val="auto"/>
              </w:rPr>
              <w:t>Other segment items</w:t>
            </w:r>
            <w:r>
              <w:rPr>
                <w:rFonts w:ascii="Times New Roman" w:cs="Times New Roman" w:eastAsia="Times New Roman" w:hAnsi="Times New Roman"/>
                <w:sz w:val="23"/>
                <w:szCs w:val="23"/>
                <w:color w:val="auto"/>
                <w:vertAlign w:val="superscript"/>
              </w:rPr>
              <w:t>(d)</w:t>
            </w:r>
          </w:p>
        </w:tc>
        <w:tc>
          <w:tcPr>
            <w:tcW w:w="1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91,081</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75,655</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r>
      <w:tr>
        <w:trPr>
          <w:trHeight w:val="223"/>
        </w:trPr>
        <w:tc>
          <w:tcPr>
            <w:tcW w:w="6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profit for reportable segments</w:t>
            </w: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90,740</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120,041</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210,781</w:t>
            </w:r>
          </w:p>
        </w:tc>
      </w:tr>
      <w:tr>
        <w:trPr>
          <w:trHeight w:val="229"/>
        </w:trPr>
        <w:tc>
          <w:tcPr>
            <w:tcW w:w="674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Other segment profit (loss)</w:t>
            </w:r>
            <w:r>
              <w:rPr>
                <w:rFonts w:ascii="Times New Roman" w:cs="Times New Roman" w:eastAsia="Times New Roman" w:hAnsi="Times New Roman"/>
                <w:sz w:val="23"/>
                <w:szCs w:val="23"/>
                <w:color w:val="auto"/>
                <w:vertAlign w:val="superscript"/>
              </w:rPr>
              <w:t>(a)</w:t>
            </w:r>
          </w:p>
        </w:tc>
        <w:tc>
          <w:tcPr>
            <w:tcW w:w="1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(13,384)</w:t>
            </w:r>
          </w:p>
        </w:tc>
      </w:tr>
      <w:tr>
        <w:trPr>
          <w:trHeight w:val="229"/>
        </w:trPr>
        <w:tc>
          <w:tcPr>
            <w:tcW w:w="6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Shared services and corporate</w:t>
            </w: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(44,391)</w:t>
            </w:r>
          </w:p>
        </w:tc>
      </w:tr>
      <w:tr>
        <w:trPr>
          <w:trHeight w:val="230"/>
        </w:trPr>
        <w:tc>
          <w:tcPr>
            <w:tcW w:w="6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Restructuring costs</w:t>
            </w:r>
          </w:p>
        </w:tc>
        <w:tc>
          <w:tcPr>
            <w:tcW w:w="1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(4,757)</w:t>
            </w:r>
          </w:p>
        </w:tc>
      </w:tr>
      <w:tr>
        <w:trPr>
          <w:trHeight w:val="229"/>
        </w:trPr>
        <w:tc>
          <w:tcPr>
            <w:tcW w:w="6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 of intangible assets</w:t>
            </w: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(75,658)</w:t>
            </w:r>
          </w:p>
        </w:tc>
      </w:tr>
      <w:tr>
        <w:trPr>
          <w:trHeight w:val="229"/>
        </w:trPr>
        <w:tc>
          <w:tcPr>
            <w:tcW w:w="6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Gains (losses), net on disposal of property and equipment</w:t>
            </w:r>
          </w:p>
        </w:tc>
        <w:tc>
          <w:tcPr>
            <w:tcW w:w="1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31,488</w:t>
            </w:r>
          </w:p>
        </w:tc>
      </w:tr>
      <w:tr>
        <w:trPr>
          <w:trHeight w:val="230"/>
        </w:trPr>
        <w:tc>
          <w:tcPr>
            <w:tcW w:w="6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(102,403)</w:t>
            </w:r>
          </w:p>
        </w:tc>
      </w:tr>
      <w:tr>
        <w:trPr>
          <w:trHeight w:val="229"/>
        </w:trPr>
        <w:tc>
          <w:tcPr>
            <w:tcW w:w="6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1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(2,972)</w:t>
            </w:r>
          </w:p>
        </w:tc>
      </w:tr>
      <w:tr>
        <w:trPr>
          <w:trHeight w:val="230"/>
        </w:trPr>
        <w:tc>
          <w:tcPr>
            <w:tcW w:w="6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financing transaction costs</w:t>
            </w: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(38,071)</w:t>
            </w:r>
          </w:p>
        </w:tc>
      </w:tr>
      <w:tr>
        <w:trPr>
          <w:trHeight w:val="229"/>
        </w:trPr>
        <w:tc>
          <w:tcPr>
            <w:tcW w:w="6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Defined benefit pension plan income (expense)</w:t>
            </w:r>
          </w:p>
        </w:tc>
        <w:tc>
          <w:tcPr>
            <w:tcW w:w="1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(675)</w:t>
            </w:r>
          </w:p>
        </w:tc>
      </w:tr>
      <w:tr>
        <w:trPr>
          <w:trHeight w:val="229"/>
        </w:trPr>
        <w:tc>
          <w:tcPr>
            <w:tcW w:w="6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Miscellaneous, net</w:t>
            </w: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(1,527)</w:t>
            </w:r>
          </w:p>
        </w:tc>
      </w:tr>
      <w:tr>
        <w:trPr>
          <w:trHeight w:val="223"/>
        </w:trPr>
        <w:tc>
          <w:tcPr>
            <w:tcW w:w="6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Income (loss) from operations before income taxes</w:t>
            </w:r>
          </w:p>
        </w:tc>
        <w:tc>
          <w:tcPr>
            <w:tcW w:w="1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(41,569)</w:t>
            </w:r>
          </w:p>
        </w:tc>
      </w:tr>
      <w:tr>
        <w:trPr>
          <w:trHeight w:val="20"/>
        </w:trPr>
        <w:tc>
          <w:tcPr>
            <w:tcW w:w="6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72" w:lineRule="exact"/>
        <w:rPr>
          <w:sz w:val="20"/>
          <w:szCs w:val="20"/>
          <w:color w:val="auto"/>
        </w:rPr>
      </w:pPr>
    </w:p>
    <w:p>
      <w:pPr>
        <w:jc w:val="both"/>
        <w:ind w:right="100" w:firstLine="8"/>
        <w:spacing w:after="0" w:line="261" w:lineRule="auto"/>
        <w:tabs>
          <w:tab w:leader="none" w:pos="196"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Reflects revenues and profit (loss) from operating segments below the reportable quantitative thresholds. These operating segments include our Tablo business, the Scripps National Spelling Bee and operational aspects of the Scripps News and Scripps Sports business units. None of these operating segments have ever met any of the quantitative thresholds for determining reportable segments.</w:t>
      </w:r>
    </w:p>
    <w:p>
      <w:pPr>
        <w:ind w:left="220" w:hanging="212"/>
        <w:spacing w:after="0"/>
        <w:tabs>
          <w:tab w:leader="none" w:pos="22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significant expense categories and amounts align with the segment-level information that is regularly provided to the chief operating decision maker.</w:t>
      </w:r>
    </w:p>
    <w:p>
      <w:pPr>
        <w:spacing w:after="0" w:line="14" w:lineRule="exact"/>
        <w:rPr>
          <w:rFonts w:ascii="Times New Roman" w:cs="Times New Roman" w:eastAsia="Times New Roman" w:hAnsi="Times New Roman"/>
          <w:sz w:val="14"/>
          <w:szCs w:val="14"/>
          <w:color w:val="auto"/>
        </w:rPr>
      </w:pPr>
    </w:p>
    <w:p>
      <w:pPr>
        <w:ind w:right="280" w:firstLine="8"/>
        <w:spacing w:after="0" w:line="254" w:lineRule="auto"/>
        <w:tabs>
          <w:tab w:leader="none" w:pos="196"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Programming includes the cost of national television network programming, carriage agreements with local television broadcasters, programming produced by us or for us by independent production companies, rights acquired under multi-year sports programming agreements and programs licensed under agreements with independent producers.</w:t>
      </w:r>
    </w:p>
    <w:p>
      <w:pPr>
        <w:ind w:left="220" w:hanging="212"/>
        <w:spacing w:after="0"/>
        <w:tabs>
          <w:tab w:leader="none" w:pos="22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segment items for each reportable segment includes marketing and advertising expenses, research costs, certain occupancy costs and other administrative costs.</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26" w:name="page27"/>
    <w:bookmarkEnd w:id="26"/>
    <w:tbl>
      <w:tblPr>
        <w:tblLayout w:type="fixed"/>
        <w:tblInd w:w="0" w:type="dxa"/>
        <w:tblCellMar>
          <w:top w:w="0" w:type="dxa"/>
          <w:left w:w="0" w:type="dxa"/>
          <w:bottom w:w="0" w:type="dxa"/>
          <w:right w:w="0" w:type="dxa"/>
        </w:tblCellMar>
      </w:tblPr>
      <w:tr>
        <w:trPr>
          <w:trHeight w:val="234"/>
        </w:trPr>
        <w:tc>
          <w:tcPr>
            <w:tcW w:w="6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3340" w:type="dxa"/>
            <w:vAlign w:val="bottom"/>
            <w:tcBorders>
              <w:bottom w:val="single" w:sz="8" w:color="auto"/>
            </w:tcBorders>
            <w:gridSpan w:val="6"/>
          </w:tcPr>
          <w:p>
            <w:pPr>
              <w:jc w:val="center"/>
              <w:ind w:left="710"/>
              <w:spacing w:after="0"/>
              <w:rPr>
                <w:sz w:val="20"/>
                <w:szCs w:val="20"/>
                <w:color w:val="auto"/>
              </w:rPr>
            </w:pPr>
            <w:r>
              <w:rPr>
                <w:rFonts w:ascii="Times New Roman" w:cs="Times New Roman" w:eastAsia="Times New Roman" w:hAnsi="Times New Roman"/>
                <w:sz w:val="18"/>
                <w:szCs w:val="18"/>
                <w:color w:val="auto"/>
                <w:w w:val="99"/>
              </w:rPr>
              <w:t>Six Months Ended June 30, 2024</w:t>
            </w:r>
          </w:p>
        </w:tc>
        <w:tc>
          <w:tcPr>
            <w:tcW w:w="980" w:type="dxa"/>
            <w:vAlign w:val="bottom"/>
            <w:tcBorders>
              <w:bottom w:val="single" w:sz="8" w:color="auto"/>
            </w:tcBorders>
          </w:tcPr>
          <w:p>
            <w:pPr>
              <w:spacing w:after="0"/>
              <w:rPr>
                <w:sz w:val="20"/>
                <w:szCs w:val="20"/>
                <w:color w:val="auto"/>
              </w:rPr>
            </w:pPr>
          </w:p>
        </w:tc>
      </w:tr>
      <w:tr>
        <w:trPr>
          <w:trHeight w:val="223"/>
        </w:trPr>
        <w:tc>
          <w:tcPr>
            <w:tcW w:w="6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180" w:type="dxa"/>
            <w:vAlign w:val="bottom"/>
          </w:tcPr>
          <w:p>
            <w:pPr>
              <w:spacing w:after="0"/>
              <w:rPr>
                <w:sz w:val="19"/>
                <w:szCs w:val="19"/>
                <w:color w:val="auto"/>
              </w:rPr>
            </w:pPr>
          </w:p>
        </w:tc>
        <w:tc>
          <w:tcPr>
            <w:tcW w:w="13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Local Media</w:t>
            </w:r>
          </w:p>
        </w:tc>
        <w:tc>
          <w:tcPr>
            <w:tcW w:w="154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color w:val="auto"/>
                <w:w w:val="99"/>
              </w:rPr>
              <w:t>Scripps Networks</w:t>
            </w:r>
          </w:p>
        </w:tc>
        <w:tc>
          <w:tcPr>
            <w:tcW w:w="460" w:type="dxa"/>
            <w:vAlign w:val="bottom"/>
          </w:tcPr>
          <w:p>
            <w:pPr>
              <w:spacing w:after="0"/>
              <w:rPr>
                <w:sz w:val="19"/>
                <w:szCs w:val="19"/>
                <w:color w:val="auto"/>
              </w:rPr>
            </w:pPr>
          </w:p>
        </w:tc>
        <w:tc>
          <w:tcPr>
            <w:tcW w:w="98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Total</w:t>
            </w:r>
          </w:p>
        </w:tc>
      </w:tr>
      <w:tr>
        <w:trPr>
          <w:trHeight w:val="34"/>
        </w:trPr>
        <w:tc>
          <w:tcPr>
            <w:tcW w:w="662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top w:val="single" w:sz="8" w:color="auto"/>
            </w:tcBorders>
          </w:tcPr>
          <w:p>
            <w:pPr>
              <w:spacing w:after="0"/>
              <w:rPr>
                <w:sz w:val="2"/>
                <w:szCs w:val="2"/>
                <w:color w:val="auto"/>
              </w:rPr>
            </w:pPr>
          </w:p>
        </w:tc>
        <w:tc>
          <w:tcPr>
            <w:tcW w:w="124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top w:val="single" w:sz="8" w:color="auto"/>
            </w:tcBorders>
          </w:tcPr>
          <w:p>
            <w:pPr>
              <w:spacing w:after="0"/>
              <w:rPr>
                <w:sz w:val="2"/>
                <w:szCs w:val="2"/>
                <w:color w:val="auto"/>
              </w:rPr>
            </w:pPr>
          </w:p>
        </w:tc>
        <w:tc>
          <w:tcPr>
            <w:tcW w:w="9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top w:val="single" w:sz="8" w:color="auto"/>
            </w:tcBorders>
          </w:tcPr>
          <w:p>
            <w:pPr>
              <w:spacing w:after="0"/>
              <w:rPr>
                <w:sz w:val="2"/>
                <w:szCs w:val="2"/>
                <w:color w:val="auto"/>
              </w:rPr>
            </w:pPr>
          </w:p>
        </w:tc>
        <w:tc>
          <w:tcPr>
            <w:tcW w:w="980" w:type="dxa"/>
            <w:vAlign w:val="bottom"/>
            <w:tcBorders>
              <w:top w:val="single" w:sz="8" w:color="auto"/>
            </w:tcBorders>
          </w:tcPr>
          <w:p>
            <w:pPr>
              <w:spacing w:after="0"/>
              <w:rPr>
                <w:sz w:val="2"/>
                <w:szCs w:val="2"/>
                <w:color w:val="auto"/>
              </w:rPr>
            </w:pPr>
          </w:p>
        </w:tc>
      </w:tr>
      <w:tr>
        <w:trPr>
          <w:trHeight w:val="229"/>
        </w:trPr>
        <w:tc>
          <w:tcPr>
            <w:tcW w:w="6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 from external customers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708,236</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417,998</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1,126,234</w:t>
            </w:r>
          </w:p>
        </w:tc>
      </w:tr>
      <w:tr>
        <w:trPr>
          <w:trHeight w:val="230"/>
        </w:trPr>
        <w:tc>
          <w:tcPr>
            <w:tcW w:w="6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Intersegment revenues</w:t>
            </w: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9,526</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9,526</w:t>
            </w:r>
          </w:p>
        </w:tc>
      </w:tr>
      <w:tr>
        <w:trPr>
          <w:trHeight w:val="223"/>
        </w:trPr>
        <w:tc>
          <w:tcPr>
            <w:tcW w:w="674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Reportable segments revenues</w:t>
            </w:r>
          </w:p>
        </w:tc>
        <w:tc>
          <w:tcPr>
            <w:tcW w:w="180" w:type="dxa"/>
            <w:vAlign w:val="bottom"/>
            <w:tcBorders>
              <w:top w:val="single" w:sz="8" w:color="auto"/>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717,762</w:t>
            </w:r>
          </w:p>
        </w:tc>
        <w:tc>
          <w:tcPr>
            <w:tcW w:w="10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417,998</w:t>
            </w:r>
          </w:p>
        </w:tc>
        <w:tc>
          <w:tcPr>
            <w:tcW w:w="10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1,135,760</w:t>
            </w:r>
          </w:p>
        </w:tc>
      </w:tr>
      <w:tr>
        <w:trPr>
          <w:trHeight w:val="230"/>
        </w:trPr>
        <w:tc>
          <w:tcPr>
            <w:tcW w:w="674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Other revenues</w:t>
            </w:r>
            <w:r>
              <w:rPr>
                <w:rFonts w:ascii="Times New Roman" w:cs="Times New Roman" w:eastAsia="Times New Roman" w:hAnsi="Times New Roman"/>
                <w:sz w:val="23"/>
                <w:szCs w:val="23"/>
                <w:color w:val="auto"/>
                <w:vertAlign w:val="superscript"/>
              </w:rPr>
              <w:t>(a)</w:t>
            </w:r>
          </w:p>
        </w:tc>
        <w:tc>
          <w:tcPr>
            <w:tcW w:w="1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8,859</w:t>
            </w:r>
          </w:p>
        </w:tc>
      </w:tr>
      <w:tr>
        <w:trPr>
          <w:trHeight w:val="229"/>
        </w:trPr>
        <w:tc>
          <w:tcPr>
            <w:tcW w:w="6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Intersegment eliminations</w:t>
            </w: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(9,526)</w:t>
            </w:r>
          </w:p>
        </w:tc>
      </w:tr>
      <w:tr>
        <w:trPr>
          <w:trHeight w:val="223"/>
        </w:trPr>
        <w:tc>
          <w:tcPr>
            <w:tcW w:w="6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consolidated operating revenues</w:t>
            </w:r>
          </w:p>
        </w:tc>
        <w:tc>
          <w:tcPr>
            <w:tcW w:w="1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1,135,093</w:t>
            </w:r>
          </w:p>
        </w:tc>
      </w:tr>
      <w:tr>
        <w:trPr>
          <w:trHeight w:val="20"/>
        </w:trPr>
        <w:tc>
          <w:tcPr>
            <w:tcW w:w="66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196"/>
        </w:trPr>
        <w:tc>
          <w:tcPr>
            <w:tcW w:w="6740" w:type="dxa"/>
            <w:vAlign w:val="bottom"/>
            <w:gridSpan w:val="2"/>
            <w:shd w:val="clear" w:color="auto" w:fill="CCEEFF"/>
          </w:tcPr>
          <w:p>
            <w:pPr>
              <w:ind w:left="20"/>
              <w:spacing w:after="0" w:line="197" w:lineRule="exact"/>
              <w:rPr>
                <w:sz w:val="20"/>
                <w:szCs w:val="20"/>
                <w:color w:val="auto"/>
              </w:rPr>
            </w:pPr>
            <w:r>
              <w:rPr>
                <w:rFonts w:ascii="Times New Roman" w:cs="Times New Roman" w:eastAsia="Times New Roman" w:hAnsi="Times New Roman"/>
                <w:sz w:val="17"/>
                <w:szCs w:val="17"/>
                <w:color w:val="auto"/>
              </w:rPr>
              <w:t>Less:</w:t>
            </w:r>
            <w:r>
              <w:rPr>
                <w:rFonts w:ascii="Times New Roman" w:cs="Times New Roman" w:eastAsia="Times New Roman" w:hAnsi="Times New Roman"/>
                <w:sz w:val="22"/>
                <w:szCs w:val="22"/>
                <w:color w:val="auto"/>
                <w:vertAlign w:val="superscript"/>
              </w:rPr>
              <w:t>(b)</w:t>
            </w:r>
          </w:p>
        </w:tc>
        <w:tc>
          <w:tcPr>
            <w:tcW w:w="1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r>
      <w:tr>
        <w:trPr>
          <w:trHeight w:val="230"/>
        </w:trPr>
        <w:tc>
          <w:tcPr>
            <w:tcW w:w="67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Employee compensation and benefits</w:t>
            </w: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212,295</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59,762</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29"/>
        </w:trPr>
        <w:tc>
          <w:tcPr>
            <w:tcW w:w="6740" w:type="dxa"/>
            <w:vAlign w:val="bottom"/>
            <w:gridSpan w:val="2"/>
            <w:shd w:val="clear" w:color="auto" w:fill="CCEEFF"/>
          </w:tcPr>
          <w:p>
            <w:pPr>
              <w:ind w:left="220"/>
              <w:spacing w:after="0" w:line="230" w:lineRule="exact"/>
              <w:rPr>
                <w:sz w:val="20"/>
                <w:szCs w:val="20"/>
                <w:color w:val="auto"/>
              </w:rPr>
            </w:pPr>
            <w:r>
              <w:rPr>
                <w:rFonts w:ascii="Times New Roman" w:cs="Times New Roman" w:eastAsia="Times New Roman" w:hAnsi="Times New Roman"/>
                <w:sz w:val="18"/>
                <w:szCs w:val="18"/>
                <w:color w:val="auto"/>
              </w:rPr>
              <w:t>Programming</w:t>
            </w:r>
            <w:r>
              <w:rPr>
                <w:rFonts w:ascii="Times New Roman" w:cs="Times New Roman" w:eastAsia="Times New Roman" w:hAnsi="Times New Roman"/>
                <w:sz w:val="23"/>
                <w:szCs w:val="23"/>
                <w:color w:val="auto"/>
                <w:vertAlign w:val="superscript"/>
              </w:rPr>
              <w:t>(c)</w:t>
            </w: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253,856</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187,636</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30"/>
        </w:trPr>
        <w:tc>
          <w:tcPr>
            <w:tcW w:w="6740" w:type="dxa"/>
            <w:vAlign w:val="bottom"/>
            <w:tcBorders>
              <w:bottom w:val="single" w:sz="8" w:color="CCEEFF"/>
            </w:tcBorders>
            <w:gridSpan w:val="2"/>
          </w:tcPr>
          <w:p>
            <w:pPr>
              <w:ind w:left="200"/>
              <w:spacing w:after="0" w:line="230" w:lineRule="exact"/>
              <w:rPr>
                <w:sz w:val="20"/>
                <w:szCs w:val="20"/>
                <w:color w:val="auto"/>
              </w:rPr>
            </w:pPr>
            <w:r>
              <w:rPr>
                <w:rFonts w:ascii="Times New Roman" w:cs="Times New Roman" w:eastAsia="Times New Roman" w:hAnsi="Times New Roman"/>
                <w:sz w:val="18"/>
                <w:szCs w:val="18"/>
                <w:color w:val="auto"/>
              </w:rPr>
              <w:t>Other segment items</w:t>
            </w:r>
            <w:r>
              <w:rPr>
                <w:rFonts w:ascii="Times New Roman" w:cs="Times New Roman" w:eastAsia="Times New Roman" w:hAnsi="Times New Roman"/>
                <w:sz w:val="23"/>
                <w:szCs w:val="23"/>
                <w:color w:val="auto"/>
                <w:vertAlign w:val="superscript"/>
              </w:rPr>
              <w:t>(d)</w:t>
            </w:r>
          </w:p>
        </w:tc>
        <w:tc>
          <w:tcPr>
            <w:tcW w:w="1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97,925</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83,199</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r>
      <w:tr>
        <w:trPr>
          <w:trHeight w:val="223"/>
        </w:trPr>
        <w:tc>
          <w:tcPr>
            <w:tcW w:w="6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profit for reportable segments</w:t>
            </w: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153,686</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87,401</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241,087</w:t>
            </w:r>
          </w:p>
        </w:tc>
      </w:tr>
      <w:tr>
        <w:trPr>
          <w:trHeight w:val="229"/>
        </w:trPr>
        <w:tc>
          <w:tcPr>
            <w:tcW w:w="674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Other segment profit (loss)</w:t>
            </w:r>
            <w:r>
              <w:rPr>
                <w:rFonts w:ascii="Times New Roman" w:cs="Times New Roman" w:eastAsia="Times New Roman" w:hAnsi="Times New Roman"/>
                <w:sz w:val="23"/>
                <w:szCs w:val="23"/>
                <w:color w:val="auto"/>
                <w:vertAlign w:val="superscript"/>
              </w:rPr>
              <w:t>(a)</w:t>
            </w:r>
          </w:p>
        </w:tc>
        <w:tc>
          <w:tcPr>
            <w:tcW w:w="1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(15,633)</w:t>
            </w:r>
          </w:p>
        </w:tc>
      </w:tr>
      <w:tr>
        <w:trPr>
          <w:trHeight w:val="230"/>
        </w:trPr>
        <w:tc>
          <w:tcPr>
            <w:tcW w:w="6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Shared services and corporate</w:t>
            </w: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(43,226)</w:t>
            </w:r>
          </w:p>
        </w:tc>
      </w:tr>
      <w:tr>
        <w:trPr>
          <w:trHeight w:val="229"/>
        </w:trPr>
        <w:tc>
          <w:tcPr>
            <w:tcW w:w="6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Restructuring costs</w:t>
            </w:r>
          </w:p>
        </w:tc>
        <w:tc>
          <w:tcPr>
            <w:tcW w:w="1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(5,988)</w:t>
            </w:r>
          </w:p>
        </w:tc>
      </w:tr>
      <w:tr>
        <w:trPr>
          <w:trHeight w:val="230"/>
        </w:trPr>
        <w:tc>
          <w:tcPr>
            <w:tcW w:w="6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 of intangible assets</w:t>
            </w: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(77,156)</w:t>
            </w:r>
          </w:p>
        </w:tc>
      </w:tr>
      <w:tr>
        <w:trPr>
          <w:trHeight w:val="229"/>
        </w:trPr>
        <w:tc>
          <w:tcPr>
            <w:tcW w:w="6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Gains (losses), net on disposal of property and equipment</w:t>
            </w:r>
          </w:p>
        </w:tc>
        <w:tc>
          <w:tcPr>
            <w:tcW w:w="1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29"/>
        </w:trPr>
        <w:tc>
          <w:tcPr>
            <w:tcW w:w="6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(107,040)</w:t>
            </w:r>
          </w:p>
        </w:tc>
      </w:tr>
      <w:tr>
        <w:trPr>
          <w:trHeight w:val="230"/>
        </w:trPr>
        <w:tc>
          <w:tcPr>
            <w:tcW w:w="6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Defined benefit pension plan income (expense)</w:t>
            </w:r>
          </w:p>
        </w:tc>
        <w:tc>
          <w:tcPr>
            <w:tcW w:w="1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w:t>
            </w:r>
          </w:p>
        </w:tc>
      </w:tr>
      <w:tr>
        <w:trPr>
          <w:trHeight w:val="229"/>
        </w:trPr>
        <w:tc>
          <w:tcPr>
            <w:tcW w:w="6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Miscellaneous, net</w:t>
            </w: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16,402</w:t>
            </w:r>
          </w:p>
        </w:tc>
      </w:tr>
      <w:tr>
        <w:trPr>
          <w:trHeight w:val="223"/>
        </w:trPr>
        <w:tc>
          <w:tcPr>
            <w:tcW w:w="6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Income (loss) from operations before income taxes</w:t>
            </w:r>
          </w:p>
        </w:tc>
        <w:tc>
          <w:tcPr>
            <w:tcW w:w="1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8,810</w:t>
            </w:r>
          </w:p>
        </w:tc>
      </w:tr>
      <w:tr>
        <w:trPr>
          <w:trHeight w:val="20"/>
        </w:trPr>
        <w:tc>
          <w:tcPr>
            <w:tcW w:w="6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72" w:lineRule="exact"/>
        <w:rPr>
          <w:sz w:val="20"/>
          <w:szCs w:val="20"/>
          <w:color w:val="auto"/>
        </w:rPr>
      </w:pPr>
    </w:p>
    <w:p>
      <w:pPr>
        <w:jc w:val="both"/>
        <w:ind w:right="100" w:firstLine="8"/>
        <w:spacing w:after="0" w:line="261" w:lineRule="auto"/>
        <w:tabs>
          <w:tab w:leader="none" w:pos="196"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Reflects revenues and profit (loss) from operating segments below the reportable quantitative thresholds. These operating segments include our Tablo business, the Scripps National Spelling Bee and operational aspects of the Scripps News and Scripps Sports business units. None of these operating segments have ever met any of the quantitative thresholds for determining reportable segments.</w:t>
      </w:r>
    </w:p>
    <w:p>
      <w:pPr>
        <w:ind w:left="220" w:hanging="212"/>
        <w:spacing w:after="0"/>
        <w:tabs>
          <w:tab w:leader="none" w:pos="22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significant expense categories and amounts align with the segment-level information that is regularly provided to the chief operating decision maker.</w:t>
      </w:r>
    </w:p>
    <w:p>
      <w:pPr>
        <w:spacing w:after="0" w:line="14" w:lineRule="exact"/>
        <w:rPr>
          <w:rFonts w:ascii="Times New Roman" w:cs="Times New Roman" w:eastAsia="Times New Roman" w:hAnsi="Times New Roman"/>
          <w:sz w:val="14"/>
          <w:szCs w:val="14"/>
          <w:color w:val="auto"/>
        </w:rPr>
      </w:pPr>
    </w:p>
    <w:p>
      <w:pPr>
        <w:ind w:right="280" w:firstLine="8"/>
        <w:spacing w:after="0" w:line="254" w:lineRule="auto"/>
        <w:tabs>
          <w:tab w:leader="none" w:pos="196"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Programming includes the cost of national television network programming, carriage agreements with local television broadcasters, programming produced by us or for us by independent production companies, rights acquired under multi-year sports programming agreements and programs licensed under agreements with independent producers.</w:t>
      </w:r>
    </w:p>
    <w:p>
      <w:pPr>
        <w:ind w:left="220" w:hanging="212"/>
        <w:spacing w:after="0"/>
        <w:tabs>
          <w:tab w:leader="none" w:pos="22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segment items for each reportable segment includes marketing and advertising expenses, research costs, certain occupancy costs and other administrative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4" w:right="339" w:bottom="1440" w:gutter="0" w:footer="0" w:header="0"/>
        </w:sectPr>
      </w:pPr>
    </w:p>
    <w:bookmarkStart w:id="27" w:name="page28"/>
    <w:bookmarkEnd w:id="27"/>
    <w:tbl>
      <w:tblPr>
        <w:tblLayout w:type="fixed"/>
        <w:tblInd w:w="0" w:type="dxa"/>
        <w:tblCellMar>
          <w:top w:w="0" w:type="dxa"/>
          <w:left w:w="0" w:type="dxa"/>
          <w:bottom w:w="0" w:type="dxa"/>
          <w:right w:w="0" w:type="dxa"/>
        </w:tblCellMar>
      </w:tblPr>
      <w:tr>
        <w:trPr>
          <w:trHeight w:val="234"/>
        </w:trPr>
        <w:tc>
          <w:tcPr>
            <w:tcW w:w="566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Other segment disclosures are as follows:</w:t>
            </w: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5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540" w:type="dxa"/>
            <w:vAlign w:val="bottom"/>
            <w:gridSpan w:val="5"/>
          </w:tcPr>
          <w:p>
            <w:pPr>
              <w:ind w:left="280"/>
              <w:spacing w:after="0" w:line="202" w:lineRule="exact"/>
              <w:rPr>
                <w:sz w:val="20"/>
                <w:szCs w:val="20"/>
                <w:color w:val="auto"/>
              </w:rPr>
            </w:pPr>
            <w:r>
              <w:rPr>
                <w:rFonts w:ascii="Times New Roman" w:cs="Times New Roman" w:eastAsia="Times New Roman" w:hAnsi="Times New Roman"/>
                <w:sz w:val="18"/>
                <w:szCs w:val="18"/>
                <w:color w:val="auto"/>
              </w:rPr>
              <w:t>Three Months Ended</w:t>
            </w:r>
          </w:p>
        </w:tc>
        <w:tc>
          <w:tcPr>
            <w:tcW w:w="300" w:type="dxa"/>
            <w:vAlign w:val="bottom"/>
          </w:tcPr>
          <w:p>
            <w:pPr>
              <w:spacing w:after="0"/>
              <w:rPr>
                <w:sz w:val="17"/>
                <w:szCs w:val="17"/>
                <w:color w:val="auto"/>
              </w:rPr>
            </w:pPr>
          </w:p>
        </w:tc>
        <w:tc>
          <w:tcPr>
            <w:tcW w:w="2440" w:type="dxa"/>
            <w:vAlign w:val="bottom"/>
            <w:gridSpan w:val="4"/>
          </w:tcPr>
          <w:p>
            <w:pPr>
              <w:jc w:val="right"/>
              <w:ind w:right="630"/>
              <w:spacing w:after="0" w:line="202" w:lineRule="exact"/>
              <w:rPr>
                <w:sz w:val="20"/>
                <w:szCs w:val="20"/>
                <w:color w:val="auto"/>
              </w:rPr>
            </w:pPr>
            <w:r>
              <w:rPr>
                <w:rFonts w:ascii="Times New Roman" w:cs="Times New Roman" w:eastAsia="Times New Roman" w:hAnsi="Times New Roman"/>
                <w:sz w:val="18"/>
                <w:szCs w:val="18"/>
                <w:color w:val="auto"/>
              </w:rPr>
              <w:t>Six Months Ended</w:t>
            </w:r>
          </w:p>
        </w:tc>
        <w:tc>
          <w:tcPr>
            <w:tcW w:w="0" w:type="dxa"/>
            <w:vAlign w:val="bottom"/>
          </w:tcPr>
          <w:p>
            <w:pPr>
              <w:spacing w:after="0"/>
              <w:rPr>
                <w:sz w:val="1"/>
                <w:szCs w:val="1"/>
                <w:color w:val="auto"/>
              </w:rPr>
            </w:pPr>
          </w:p>
        </w:tc>
      </w:tr>
      <w:tr>
        <w:trPr>
          <w:trHeight w:val="237"/>
        </w:trPr>
        <w:tc>
          <w:tcPr>
            <w:tcW w:w="5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8"/>
                <w:szCs w:val="18"/>
                <w:color w:val="auto"/>
              </w:rPr>
              <w:t>June 30,</w:t>
            </w:r>
          </w:p>
        </w:tc>
        <w:tc>
          <w:tcPr>
            <w:tcW w:w="9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8"/>
                <w:szCs w:val="18"/>
                <w:color w:val="auto"/>
              </w:rPr>
              <w:t>June 30,</w:t>
            </w:r>
          </w:p>
        </w:tc>
        <w:tc>
          <w:tcPr>
            <w:tcW w:w="9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300" w:type="dxa"/>
            <w:vAlign w:val="bottom"/>
          </w:tcPr>
          <w:p>
            <w:pPr>
              <w:spacing w:after="0"/>
              <w:rPr>
                <w:sz w:val="19"/>
                <w:szCs w:val="19"/>
                <w:color w:val="auto"/>
              </w:rPr>
            </w:pPr>
          </w:p>
        </w:tc>
        <w:tc>
          <w:tcPr>
            <w:tcW w:w="102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2025</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2024</w:t>
            </w:r>
          </w:p>
        </w:tc>
        <w:tc>
          <w:tcPr>
            <w:tcW w:w="0" w:type="dxa"/>
            <w:vAlign w:val="bottom"/>
          </w:tcPr>
          <w:p>
            <w:pPr>
              <w:spacing w:after="0"/>
              <w:rPr>
                <w:sz w:val="1"/>
                <w:szCs w:val="1"/>
                <w:color w:val="auto"/>
              </w:rPr>
            </w:pPr>
          </w:p>
        </w:tc>
      </w:tr>
      <w:tr>
        <w:trPr>
          <w:trHeight w:val="34"/>
        </w:trPr>
        <w:tc>
          <w:tcPr>
            <w:tcW w:w="556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top w:val="single" w:sz="8" w:color="auto"/>
            </w:tcBorders>
          </w:tcPr>
          <w:p>
            <w:pPr>
              <w:spacing w:after="0"/>
              <w:rPr>
                <w:sz w:val="2"/>
                <w:szCs w:val="2"/>
                <w:color w:val="auto"/>
              </w:rPr>
            </w:pPr>
          </w:p>
        </w:tc>
        <w:tc>
          <w:tcPr>
            <w:tcW w:w="102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top w:val="single" w:sz="8" w:color="auto"/>
            </w:tcBorders>
          </w:tcPr>
          <w:p>
            <w:pPr>
              <w:spacing w:after="0"/>
              <w:rPr>
                <w:sz w:val="2"/>
                <w:szCs w:val="2"/>
                <w:color w:val="auto"/>
              </w:rPr>
            </w:pPr>
          </w:p>
        </w:tc>
        <w:tc>
          <w:tcPr>
            <w:tcW w:w="96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top w:val="single" w:sz="8" w:color="auto"/>
            </w:tcBorders>
          </w:tcPr>
          <w:p>
            <w:pPr>
              <w:spacing w:after="0"/>
              <w:rPr>
                <w:sz w:val="2"/>
                <w:szCs w:val="2"/>
                <w:color w:val="auto"/>
              </w:rPr>
            </w:pPr>
          </w:p>
        </w:tc>
        <w:tc>
          <w:tcPr>
            <w:tcW w:w="100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top w:val="single" w:sz="8" w:color="auto"/>
            </w:tcBorders>
          </w:tcPr>
          <w:p>
            <w:pPr>
              <w:spacing w:after="0"/>
              <w:rPr>
                <w:sz w:val="2"/>
                <w:szCs w:val="2"/>
                <w:color w:val="auto"/>
              </w:rPr>
            </w:pPr>
          </w:p>
        </w:tc>
        <w:tc>
          <w:tcPr>
            <w:tcW w:w="960" w:type="dxa"/>
            <w:vAlign w:val="bottom"/>
            <w:tcBorders>
              <w:top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5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Local Media</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9,313</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10,153</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18,921</w:t>
            </w:r>
          </w:p>
        </w:tc>
        <w:tc>
          <w:tcPr>
            <w:tcW w:w="12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20,186</w:t>
            </w:r>
          </w:p>
        </w:tc>
        <w:tc>
          <w:tcPr>
            <w:tcW w:w="0" w:type="dxa"/>
            <w:vAlign w:val="bottom"/>
          </w:tcPr>
          <w:p>
            <w:pPr>
              <w:spacing w:after="0"/>
              <w:rPr>
                <w:sz w:val="1"/>
                <w:szCs w:val="1"/>
                <w:color w:val="auto"/>
              </w:rPr>
            </w:pPr>
          </w:p>
        </w:tc>
      </w:tr>
      <w:tr>
        <w:trPr>
          <w:trHeight w:val="230"/>
        </w:trPr>
        <w:tc>
          <w:tcPr>
            <w:tcW w:w="56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Scripps Networks</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4,908</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4,719</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9,796</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9,544</w:t>
            </w:r>
          </w:p>
        </w:tc>
        <w:tc>
          <w:tcPr>
            <w:tcW w:w="0" w:type="dxa"/>
            <w:vAlign w:val="bottom"/>
          </w:tcPr>
          <w:p>
            <w:pPr>
              <w:spacing w:after="0"/>
              <w:rPr>
                <w:sz w:val="1"/>
                <w:szCs w:val="1"/>
                <w:color w:val="auto"/>
              </w:rPr>
            </w:pPr>
          </w:p>
        </w:tc>
      </w:tr>
      <w:tr>
        <w:trPr>
          <w:trHeight w:val="223"/>
        </w:trPr>
        <w:tc>
          <w:tcPr>
            <w:tcW w:w="56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Total depreciation for reportable segments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14,221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14,872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28,717</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29,730</w:t>
            </w:r>
          </w:p>
        </w:tc>
        <w:tc>
          <w:tcPr>
            <w:tcW w:w="0" w:type="dxa"/>
            <w:vAlign w:val="bottom"/>
          </w:tcPr>
          <w:p>
            <w:pPr>
              <w:spacing w:after="0"/>
              <w:rPr>
                <w:sz w:val="1"/>
                <w:szCs w:val="1"/>
                <w:color w:val="auto"/>
              </w:rPr>
            </w:pPr>
          </w:p>
        </w:tc>
      </w:tr>
      <w:tr>
        <w:trPr>
          <w:trHeight w:val="229"/>
        </w:trPr>
        <w:tc>
          <w:tcPr>
            <w:tcW w:w="56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0" w:type="dxa"/>
            <w:vAlign w:val="bottom"/>
          </w:tcPr>
          <w:p>
            <w:pPr>
              <w:spacing w:after="0"/>
              <w:rPr>
                <w:sz w:val="1"/>
                <w:szCs w:val="1"/>
                <w:color w:val="auto"/>
              </w:rPr>
            </w:pPr>
          </w:p>
        </w:tc>
      </w:tr>
      <w:tr>
        <w:trPr>
          <w:trHeight w:val="230"/>
        </w:trPr>
        <w:tc>
          <w:tcPr>
            <w:tcW w:w="566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8"/>
                <w:szCs w:val="18"/>
                <w:color w:val="auto"/>
              </w:rPr>
              <w:t>Shared services and corporate</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732</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410</w:t>
            </w:r>
          </w:p>
        </w:tc>
        <w:tc>
          <w:tcPr>
            <w:tcW w:w="0" w:type="dxa"/>
            <w:vAlign w:val="bottom"/>
          </w:tcPr>
          <w:p>
            <w:pPr>
              <w:spacing w:after="0"/>
              <w:rPr>
                <w:sz w:val="1"/>
                <w:szCs w:val="1"/>
                <w:color w:val="auto"/>
              </w:rPr>
            </w:pPr>
          </w:p>
        </w:tc>
      </w:tr>
      <w:tr>
        <w:trPr>
          <w:trHeight w:val="248"/>
        </w:trPr>
        <w:tc>
          <w:tcPr>
            <w:tcW w:w="566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depreciation</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14,643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15,150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29,547</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30,270</w:t>
            </w:r>
          </w:p>
        </w:tc>
        <w:tc>
          <w:tcPr>
            <w:tcW w:w="0" w:type="dxa"/>
            <w:vAlign w:val="bottom"/>
          </w:tcPr>
          <w:p>
            <w:pPr>
              <w:spacing w:after="0"/>
              <w:rPr>
                <w:sz w:val="1"/>
                <w:szCs w:val="1"/>
                <w:color w:val="auto"/>
              </w:rPr>
            </w:pPr>
          </w:p>
        </w:tc>
      </w:tr>
      <w:tr>
        <w:trPr>
          <w:trHeight w:val="20"/>
        </w:trPr>
        <w:tc>
          <w:tcPr>
            <w:tcW w:w="566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5660" w:type="dxa"/>
            <w:vAlign w:val="bottom"/>
            <w:gridSpan w:val="2"/>
            <w:vMerge w:val="continue"/>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6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Local Media</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8,131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8,716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16,681</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17,661</w:t>
            </w:r>
          </w:p>
        </w:tc>
        <w:tc>
          <w:tcPr>
            <w:tcW w:w="0" w:type="dxa"/>
            <w:vAlign w:val="bottom"/>
          </w:tcPr>
          <w:p>
            <w:pPr>
              <w:spacing w:after="0"/>
              <w:rPr>
                <w:sz w:val="1"/>
                <w:szCs w:val="1"/>
                <w:color w:val="auto"/>
              </w:rPr>
            </w:pPr>
          </w:p>
        </w:tc>
      </w:tr>
      <w:tr>
        <w:trPr>
          <w:trHeight w:val="229"/>
        </w:trPr>
        <w:tc>
          <w:tcPr>
            <w:tcW w:w="566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8"/>
                <w:szCs w:val="18"/>
                <w:color w:val="auto"/>
              </w:rPr>
              <w:t>Scripps Networks</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12,976</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12,976</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25,953</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25,953</w:t>
            </w:r>
          </w:p>
        </w:tc>
        <w:tc>
          <w:tcPr>
            <w:tcW w:w="0" w:type="dxa"/>
            <w:vAlign w:val="bottom"/>
          </w:tcPr>
          <w:p>
            <w:pPr>
              <w:spacing w:after="0"/>
              <w:rPr>
                <w:sz w:val="1"/>
                <w:szCs w:val="1"/>
                <w:color w:val="auto"/>
              </w:rPr>
            </w:pPr>
          </w:p>
        </w:tc>
      </w:tr>
      <w:tr>
        <w:trPr>
          <w:trHeight w:val="223"/>
        </w:trPr>
        <w:tc>
          <w:tcPr>
            <w:tcW w:w="56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amortization of intangible assets for reportable segments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21,107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21,692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42,634</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43,614</w:t>
            </w:r>
          </w:p>
        </w:tc>
        <w:tc>
          <w:tcPr>
            <w:tcW w:w="0" w:type="dxa"/>
            <w:vAlign w:val="bottom"/>
          </w:tcPr>
          <w:p>
            <w:pPr>
              <w:spacing w:after="0"/>
              <w:rPr>
                <w:sz w:val="1"/>
                <w:szCs w:val="1"/>
                <w:color w:val="auto"/>
              </w:rPr>
            </w:pPr>
          </w:p>
        </w:tc>
      </w:tr>
      <w:tr>
        <w:trPr>
          <w:trHeight w:val="229"/>
        </w:trPr>
        <w:tc>
          <w:tcPr>
            <w:tcW w:w="56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521</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896</w:t>
            </w:r>
          </w:p>
        </w:tc>
        <w:tc>
          <w:tcPr>
            <w:tcW w:w="0" w:type="dxa"/>
            <w:vAlign w:val="bottom"/>
          </w:tcPr>
          <w:p>
            <w:pPr>
              <w:spacing w:after="0"/>
              <w:rPr>
                <w:sz w:val="1"/>
                <w:szCs w:val="1"/>
                <w:color w:val="auto"/>
              </w:rPr>
            </w:pPr>
          </w:p>
        </w:tc>
      </w:tr>
      <w:tr>
        <w:trPr>
          <w:trHeight w:val="229"/>
        </w:trPr>
        <w:tc>
          <w:tcPr>
            <w:tcW w:w="56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Shared services and corporate</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1,284</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1,181</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2,956</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2,376</w:t>
            </w:r>
          </w:p>
        </w:tc>
        <w:tc>
          <w:tcPr>
            <w:tcW w:w="0" w:type="dxa"/>
            <w:vAlign w:val="bottom"/>
          </w:tcPr>
          <w:p>
            <w:pPr>
              <w:spacing w:after="0"/>
              <w:rPr>
                <w:sz w:val="1"/>
                <w:szCs w:val="1"/>
                <w:color w:val="auto"/>
              </w:rPr>
            </w:pPr>
          </w:p>
        </w:tc>
      </w:tr>
      <w:tr>
        <w:trPr>
          <w:trHeight w:val="223"/>
        </w:trPr>
        <w:tc>
          <w:tcPr>
            <w:tcW w:w="56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Total amortization of intangible assets</w:t>
            </w: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22,555</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23,318</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46,111</w:t>
            </w: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46,886</w:t>
            </w:r>
          </w:p>
        </w:tc>
        <w:tc>
          <w:tcPr>
            <w:tcW w:w="0" w:type="dxa"/>
            <w:vAlign w:val="bottom"/>
          </w:tcPr>
          <w:p>
            <w:pPr>
              <w:spacing w:after="0"/>
              <w:rPr>
                <w:sz w:val="1"/>
                <w:szCs w:val="1"/>
                <w:color w:val="auto"/>
              </w:rPr>
            </w:pPr>
          </w:p>
        </w:tc>
      </w:tr>
      <w:tr>
        <w:trPr>
          <w:trHeight w:val="20"/>
        </w:trPr>
        <w:tc>
          <w:tcPr>
            <w:tcW w:w="55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660" w:type="dxa"/>
            <w:vAlign w:val="bottom"/>
            <w:gridSpan w:val="2"/>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Additions to property and equipment:</w:t>
            </w: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56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Local Media</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10,965</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17,943</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12,171</w:t>
            </w:r>
          </w:p>
        </w:tc>
        <w:tc>
          <w:tcPr>
            <w:tcW w:w="12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33,404</w:t>
            </w:r>
          </w:p>
        </w:tc>
        <w:tc>
          <w:tcPr>
            <w:tcW w:w="0" w:type="dxa"/>
            <w:vAlign w:val="bottom"/>
          </w:tcPr>
          <w:p>
            <w:pPr>
              <w:spacing w:after="0"/>
              <w:rPr>
                <w:sz w:val="1"/>
                <w:szCs w:val="1"/>
                <w:color w:val="auto"/>
              </w:rPr>
            </w:pPr>
          </w:p>
        </w:tc>
      </w:tr>
      <w:tr>
        <w:trPr>
          <w:trHeight w:val="229"/>
        </w:trPr>
        <w:tc>
          <w:tcPr>
            <w:tcW w:w="56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Scripps Networks</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1,424</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4,138</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1,921</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6,454</w:t>
            </w:r>
          </w:p>
        </w:tc>
        <w:tc>
          <w:tcPr>
            <w:tcW w:w="0" w:type="dxa"/>
            <w:vAlign w:val="bottom"/>
          </w:tcPr>
          <w:p>
            <w:pPr>
              <w:spacing w:after="0"/>
              <w:rPr>
                <w:sz w:val="1"/>
                <w:szCs w:val="1"/>
                <w:color w:val="auto"/>
              </w:rPr>
            </w:pPr>
          </w:p>
        </w:tc>
      </w:tr>
      <w:tr>
        <w:trPr>
          <w:trHeight w:val="223"/>
        </w:trPr>
        <w:tc>
          <w:tcPr>
            <w:tcW w:w="56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Total additions to property and equipment for reportable segments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12,389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22,081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14,092</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39,858</w:t>
            </w:r>
          </w:p>
        </w:tc>
        <w:tc>
          <w:tcPr>
            <w:tcW w:w="0" w:type="dxa"/>
            <w:vAlign w:val="bottom"/>
          </w:tcPr>
          <w:p>
            <w:pPr>
              <w:spacing w:after="0"/>
              <w:rPr>
                <w:sz w:val="1"/>
                <w:szCs w:val="1"/>
                <w:color w:val="auto"/>
              </w:rPr>
            </w:pPr>
          </w:p>
        </w:tc>
      </w:tr>
      <w:tr>
        <w:trPr>
          <w:trHeight w:val="229"/>
        </w:trPr>
        <w:tc>
          <w:tcPr>
            <w:tcW w:w="56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3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727</w:t>
            </w:r>
          </w:p>
        </w:tc>
        <w:tc>
          <w:tcPr>
            <w:tcW w:w="0" w:type="dxa"/>
            <w:vAlign w:val="bottom"/>
          </w:tcPr>
          <w:p>
            <w:pPr>
              <w:spacing w:after="0"/>
              <w:rPr>
                <w:sz w:val="1"/>
                <w:szCs w:val="1"/>
                <w:color w:val="auto"/>
              </w:rPr>
            </w:pPr>
          </w:p>
        </w:tc>
      </w:tr>
      <w:tr>
        <w:trPr>
          <w:trHeight w:val="230"/>
        </w:trPr>
        <w:tc>
          <w:tcPr>
            <w:tcW w:w="566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8"/>
                <w:szCs w:val="18"/>
                <w:color w:val="auto"/>
              </w:rPr>
              <w:t>Shared services and corporate</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459</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404</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461</w:t>
            </w:r>
          </w:p>
        </w:tc>
        <w:tc>
          <w:tcPr>
            <w:tcW w:w="0" w:type="dxa"/>
            <w:vAlign w:val="bottom"/>
          </w:tcPr>
          <w:p>
            <w:pPr>
              <w:spacing w:after="0"/>
              <w:rPr>
                <w:sz w:val="1"/>
                <w:szCs w:val="1"/>
                <w:color w:val="auto"/>
              </w:rPr>
            </w:pPr>
          </w:p>
        </w:tc>
      </w:tr>
      <w:tr>
        <w:trPr>
          <w:trHeight w:val="248"/>
        </w:trPr>
        <w:tc>
          <w:tcPr>
            <w:tcW w:w="566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additions to property and equipment</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12,642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23,149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14,496</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41,046</w:t>
            </w:r>
          </w:p>
        </w:tc>
        <w:tc>
          <w:tcPr>
            <w:tcW w:w="0" w:type="dxa"/>
            <w:vAlign w:val="bottom"/>
          </w:tcPr>
          <w:p>
            <w:pPr>
              <w:spacing w:after="0"/>
              <w:rPr>
                <w:sz w:val="1"/>
                <w:szCs w:val="1"/>
                <w:color w:val="auto"/>
              </w:rPr>
            </w:pPr>
          </w:p>
        </w:tc>
      </w:tr>
      <w:tr>
        <w:trPr>
          <w:trHeight w:val="20"/>
        </w:trPr>
        <w:tc>
          <w:tcPr>
            <w:tcW w:w="55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 disaggregation of the principal activities from which we generate revenue is as follows: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540" w:type="dxa"/>
            <w:vAlign w:val="bottom"/>
            <w:gridSpan w:val="5"/>
          </w:tcPr>
          <w:p>
            <w:pPr>
              <w:ind w:left="300"/>
              <w:spacing w:after="0"/>
              <w:rPr>
                <w:sz w:val="20"/>
                <w:szCs w:val="20"/>
                <w:color w:val="auto"/>
              </w:rPr>
            </w:pPr>
            <w:r>
              <w:rPr>
                <w:rFonts w:ascii="Times New Roman" w:cs="Times New Roman" w:eastAsia="Times New Roman" w:hAnsi="Times New Roman"/>
                <w:sz w:val="18"/>
                <w:szCs w:val="18"/>
                <w:color w:val="auto"/>
              </w:rPr>
              <w:t>Three Months Ended</w:t>
            </w:r>
          </w:p>
        </w:tc>
        <w:tc>
          <w:tcPr>
            <w:tcW w:w="300" w:type="dxa"/>
            <w:vAlign w:val="bottom"/>
          </w:tcPr>
          <w:p>
            <w:pPr>
              <w:spacing w:after="0"/>
              <w:rPr>
                <w:sz w:val="18"/>
                <w:szCs w:val="18"/>
                <w:color w:val="auto"/>
              </w:rPr>
            </w:pPr>
          </w:p>
        </w:tc>
        <w:tc>
          <w:tcPr>
            <w:tcW w:w="2460" w:type="dxa"/>
            <w:vAlign w:val="bottom"/>
            <w:gridSpan w:val="4"/>
          </w:tcPr>
          <w:p>
            <w:pPr>
              <w:jc w:val="right"/>
              <w:ind w:right="630"/>
              <w:spacing w:after="0"/>
              <w:rPr>
                <w:sz w:val="20"/>
                <w:szCs w:val="20"/>
                <w:color w:val="auto"/>
              </w:rPr>
            </w:pPr>
            <w:r>
              <w:rPr>
                <w:rFonts w:ascii="Times New Roman" w:cs="Times New Roman" w:eastAsia="Times New Roman" w:hAnsi="Times New Roman"/>
                <w:sz w:val="18"/>
                <w:szCs w:val="18"/>
                <w:color w:val="auto"/>
              </w:rPr>
              <w:t>Six Months Ended</w:t>
            </w:r>
          </w:p>
        </w:tc>
      </w:tr>
      <w:tr>
        <w:trPr>
          <w:trHeight w:val="234"/>
        </w:trPr>
        <w:tc>
          <w:tcPr>
            <w:tcW w:w="5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June 30,</w:t>
            </w:r>
          </w:p>
        </w:tc>
        <w:tc>
          <w:tcPr>
            <w:tcW w:w="9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8"/>
                <w:szCs w:val="18"/>
                <w:color w:val="auto"/>
              </w:rPr>
              <w:t>June 30,</w:t>
            </w:r>
          </w:p>
        </w:tc>
        <w:tc>
          <w:tcPr>
            <w:tcW w:w="960" w:type="dxa"/>
            <w:vAlign w:val="bottom"/>
            <w:tcBorders>
              <w:bottom w:val="single" w:sz="8" w:color="auto"/>
            </w:tcBorders>
          </w:tcPr>
          <w:p>
            <w:pPr>
              <w:spacing w:after="0"/>
              <w:rPr>
                <w:sz w:val="20"/>
                <w:szCs w:val="20"/>
                <w:color w:val="auto"/>
              </w:rPr>
            </w:pPr>
          </w:p>
        </w:tc>
      </w:tr>
      <w:tr>
        <w:trPr>
          <w:trHeight w:val="223"/>
        </w:trPr>
        <w:tc>
          <w:tcPr>
            <w:tcW w:w="5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280" w:type="dxa"/>
            <w:vAlign w:val="bottom"/>
          </w:tcPr>
          <w:p>
            <w:pPr>
              <w:spacing w:after="0"/>
              <w:rPr>
                <w:sz w:val="19"/>
                <w:szCs w:val="19"/>
                <w:color w:val="auto"/>
              </w:rPr>
            </w:pPr>
          </w:p>
        </w:tc>
        <w:tc>
          <w:tcPr>
            <w:tcW w:w="102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2025</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2024</w:t>
            </w:r>
          </w:p>
        </w:tc>
      </w:tr>
      <w:tr>
        <w:trPr>
          <w:trHeight w:val="34"/>
        </w:trPr>
        <w:tc>
          <w:tcPr>
            <w:tcW w:w="554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top w:val="single" w:sz="8" w:color="auto"/>
            </w:tcBorders>
          </w:tcPr>
          <w:p>
            <w:pPr>
              <w:spacing w:after="0"/>
              <w:rPr>
                <w:sz w:val="2"/>
                <w:szCs w:val="2"/>
                <w:color w:val="auto"/>
              </w:rPr>
            </w:pPr>
          </w:p>
        </w:tc>
        <w:tc>
          <w:tcPr>
            <w:tcW w:w="102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top w:val="single" w:sz="8" w:color="auto"/>
            </w:tcBorders>
          </w:tcPr>
          <w:p>
            <w:pPr>
              <w:spacing w:after="0"/>
              <w:rPr>
                <w:sz w:val="2"/>
                <w:szCs w:val="2"/>
                <w:color w:val="auto"/>
              </w:rPr>
            </w:pPr>
          </w:p>
        </w:tc>
        <w:tc>
          <w:tcPr>
            <w:tcW w:w="96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top w:val="single" w:sz="8" w:color="auto"/>
            </w:tcBorders>
          </w:tcPr>
          <w:p>
            <w:pPr>
              <w:spacing w:after="0"/>
              <w:rPr>
                <w:sz w:val="2"/>
                <w:szCs w:val="2"/>
                <w:color w:val="auto"/>
              </w:rPr>
            </w:pPr>
          </w:p>
        </w:tc>
        <w:tc>
          <w:tcPr>
            <w:tcW w:w="102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top w:val="single" w:sz="8" w:color="auto"/>
            </w:tcBorders>
          </w:tcPr>
          <w:p>
            <w:pPr>
              <w:spacing w:after="0"/>
              <w:rPr>
                <w:sz w:val="2"/>
                <w:szCs w:val="2"/>
                <w:color w:val="auto"/>
              </w:rPr>
            </w:pPr>
          </w:p>
        </w:tc>
        <w:tc>
          <w:tcPr>
            <w:tcW w:w="960" w:type="dxa"/>
            <w:vAlign w:val="bottom"/>
            <w:tcBorders>
              <w:top w:val="single" w:sz="8" w:color="auto"/>
            </w:tcBorders>
          </w:tcPr>
          <w:p>
            <w:pPr>
              <w:spacing w:after="0"/>
              <w:rPr>
                <w:sz w:val="2"/>
                <w:szCs w:val="2"/>
                <w:color w:val="auto"/>
              </w:rPr>
            </w:pPr>
          </w:p>
        </w:tc>
      </w:tr>
      <w:tr>
        <w:trPr>
          <w:trHeight w:val="230"/>
        </w:trPr>
        <w:tc>
          <w:tcPr>
            <w:tcW w:w="5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revenues:</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29"/>
        </w:trPr>
        <w:tc>
          <w:tcPr>
            <w:tcW w:w="56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Core advertising</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332,426</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336,502</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655,014</w:t>
            </w:r>
          </w:p>
        </w:tc>
        <w:tc>
          <w:tcPr>
            <w:tcW w:w="12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670,292</w:t>
            </w:r>
          </w:p>
        </w:tc>
      </w:tr>
      <w:tr>
        <w:trPr>
          <w:trHeight w:val="230"/>
        </w:trPr>
        <w:tc>
          <w:tcPr>
            <w:tcW w:w="56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Political</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29,479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6,366</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45,447</w:t>
            </w:r>
          </w:p>
        </w:tc>
      </w:tr>
      <w:tr>
        <w:trPr>
          <w:trHeight w:val="230"/>
        </w:trPr>
        <w:tc>
          <w:tcPr>
            <w:tcW w:w="56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Distribution</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195,404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199,599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384,328</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402,159</w:t>
            </w:r>
          </w:p>
        </w:tc>
      </w:tr>
      <w:tr>
        <w:trPr>
          <w:trHeight w:val="230"/>
        </w:trPr>
        <w:tc>
          <w:tcPr>
            <w:tcW w:w="56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9,146</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8,049</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18,765</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17,195</w:t>
            </w:r>
          </w:p>
        </w:tc>
      </w:tr>
      <w:tr>
        <w:trPr>
          <w:trHeight w:val="223"/>
        </w:trPr>
        <w:tc>
          <w:tcPr>
            <w:tcW w:w="56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Total operating revenues</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540,080</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573,629</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1,064,473</w:t>
            </w: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1,135,093</w:t>
            </w:r>
          </w:p>
        </w:tc>
      </w:tr>
      <w:tr>
        <w:trPr>
          <w:trHeight w:val="20"/>
        </w:trPr>
        <w:tc>
          <w:tcPr>
            <w:tcW w:w="5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8" w:name="page29"/>
    <w:bookmarkEnd w:id="28"/>
    <w:tbl>
      <w:tblPr>
        <w:tblLayout w:type="fixed"/>
        <w:tblInd w:w="0" w:type="dxa"/>
        <w:tblCellMar>
          <w:top w:w="0" w:type="dxa"/>
          <w:left w:w="0" w:type="dxa"/>
          <w:bottom w:w="0" w:type="dxa"/>
          <w:right w:w="0" w:type="dxa"/>
        </w:tblCellMar>
      </w:tblPr>
      <w:tr>
        <w:trPr>
          <w:trHeight w:val="234"/>
        </w:trPr>
        <w:tc>
          <w:tcPr>
            <w:tcW w:w="826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Total assets by segment were as follows :</w:t>
            </w:r>
          </w:p>
        </w:tc>
        <w:tc>
          <w:tcPr>
            <w:tcW w:w="2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2"/>
        </w:trPr>
        <w:tc>
          <w:tcPr>
            <w:tcW w:w="8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8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As of</w:t>
            </w:r>
          </w:p>
        </w:tc>
        <w:tc>
          <w:tcPr>
            <w:tcW w:w="160" w:type="dxa"/>
            <w:vAlign w:val="bottom"/>
          </w:tcPr>
          <w:p>
            <w:pPr>
              <w:spacing w:after="0"/>
              <w:rPr>
                <w:sz w:val="24"/>
                <w:szCs w:val="24"/>
                <w:color w:val="auto"/>
              </w:rPr>
            </w:pPr>
          </w:p>
        </w:tc>
        <w:tc>
          <w:tcPr>
            <w:tcW w:w="128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As of</w:t>
            </w:r>
          </w:p>
        </w:tc>
        <w:tc>
          <w:tcPr>
            <w:tcW w:w="0" w:type="dxa"/>
            <w:vAlign w:val="bottom"/>
          </w:tcPr>
          <w:p>
            <w:pPr>
              <w:spacing w:after="0"/>
              <w:rPr>
                <w:sz w:val="1"/>
                <w:szCs w:val="1"/>
                <w:color w:val="auto"/>
              </w:rPr>
            </w:pPr>
          </w:p>
        </w:tc>
      </w:tr>
      <w:tr>
        <w:trPr>
          <w:trHeight w:val="180"/>
        </w:trPr>
        <w:tc>
          <w:tcPr>
            <w:tcW w:w="826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260" w:type="dxa"/>
            <w:vAlign w:val="bottom"/>
          </w:tcPr>
          <w:p>
            <w:pPr>
              <w:spacing w:after="0"/>
              <w:rPr>
                <w:sz w:val="15"/>
                <w:szCs w:val="15"/>
                <w:color w:val="auto"/>
              </w:rPr>
            </w:pPr>
          </w:p>
        </w:tc>
        <w:tc>
          <w:tcPr>
            <w:tcW w:w="1280" w:type="dxa"/>
            <w:vAlign w:val="bottom"/>
            <w:gridSpan w:val="2"/>
          </w:tcPr>
          <w:p>
            <w:pPr>
              <w:ind w:left="140"/>
              <w:spacing w:after="0" w:line="181" w:lineRule="exact"/>
              <w:rPr>
                <w:sz w:val="20"/>
                <w:szCs w:val="20"/>
                <w:color w:val="auto"/>
              </w:rPr>
            </w:pPr>
            <w:r>
              <w:rPr>
                <w:rFonts w:ascii="Times New Roman" w:cs="Times New Roman" w:eastAsia="Times New Roman" w:hAnsi="Times New Roman"/>
                <w:sz w:val="18"/>
                <w:szCs w:val="18"/>
                <w:color w:val="auto"/>
              </w:rPr>
              <w:t>June 30,</w:t>
            </w:r>
          </w:p>
        </w:tc>
        <w:tc>
          <w:tcPr>
            <w:tcW w:w="160" w:type="dxa"/>
            <w:vAlign w:val="bottom"/>
          </w:tcPr>
          <w:p>
            <w:pPr>
              <w:spacing w:after="0"/>
              <w:rPr>
                <w:sz w:val="15"/>
                <w:szCs w:val="15"/>
                <w:color w:val="auto"/>
              </w:rPr>
            </w:pPr>
          </w:p>
        </w:tc>
        <w:tc>
          <w:tcPr>
            <w:tcW w:w="1280" w:type="dxa"/>
            <w:vAlign w:val="bottom"/>
          </w:tcPr>
          <w:p>
            <w:pPr>
              <w:jc w:val="right"/>
              <w:ind w:right="150"/>
              <w:spacing w:after="0" w:line="181" w:lineRule="exact"/>
              <w:rPr>
                <w:sz w:val="20"/>
                <w:szCs w:val="20"/>
                <w:color w:val="auto"/>
              </w:rPr>
            </w:pPr>
            <w:r>
              <w:rPr>
                <w:rFonts w:ascii="Times New Roman" w:cs="Times New Roman" w:eastAsia="Times New Roman" w:hAnsi="Times New Roman"/>
                <w:sz w:val="18"/>
                <w:szCs w:val="18"/>
                <w:color w:val="auto"/>
              </w:rPr>
              <w:t>December 31,</w:t>
            </w:r>
          </w:p>
        </w:tc>
        <w:tc>
          <w:tcPr>
            <w:tcW w:w="0" w:type="dxa"/>
            <w:vAlign w:val="bottom"/>
          </w:tcPr>
          <w:p>
            <w:pPr>
              <w:spacing w:after="0"/>
              <w:rPr>
                <w:sz w:val="1"/>
                <w:szCs w:val="1"/>
                <w:color w:val="auto"/>
              </w:rPr>
            </w:pPr>
          </w:p>
        </w:tc>
      </w:tr>
      <w:tr>
        <w:trPr>
          <w:trHeight w:val="229"/>
        </w:trPr>
        <w:tc>
          <w:tcPr>
            <w:tcW w:w="8260" w:type="dxa"/>
            <w:vAlign w:val="bottom"/>
            <w:gridSpan w:val="2"/>
            <w:vMerge w:val="continue"/>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2024</w:t>
            </w:r>
          </w:p>
        </w:tc>
        <w:tc>
          <w:tcPr>
            <w:tcW w:w="0" w:type="dxa"/>
            <w:vAlign w:val="bottom"/>
          </w:tcPr>
          <w:p>
            <w:pPr>
              <w:spacing w:after="0"/>
              <w:rPr>
                <w:sz w:val="1"/>
                <w:szCs w:val="1"/>
                <w:color w:val="auto"/>
              </w:rPr>
            </w:pPr>
          </w:p>
        </w:tc>
      </w:tr>
      <w:tr>
        <w:trPr>
          <w:trHeight w:val="34"/>
        </w:trPr>
        <w:tc>
          <w:tcPr>
            <w:tcW w:w="816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top w:val="single" w:sz="8" w:color="auto"/>
            </w:tcBorders>
          </w:tcPr>
          <w:p>
            <w:pPr>
              <w:spacing w:after="0"/>
              <w:rPr>
                <w:sz w:val="2"/>
                <w:szCs w:val="2"/>
                <w:color w:val="auto"/>
              </w:rPr>
            </w:pPr>
          </w:p>
        </w:tc>
        <w:tc>
          <w:tcPr>
            <w:tcW w:w="11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1280" w:type="dxa"/>
            <w:vAlign w:val="bottom"/>
            <w:tcBorders>
              <w:top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Local Media</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2,281,357</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2,323,964</w:t>
            </w:r>
          </w:p>
        </w:tc>
        <w:tc>
          <w:tcPr>
            <w:tcW w:w="0" w:type="dxa"/>
            <w:vAlign w:val="bottom"/>
          </w:tcPr>
          <w:p>
            <w:pPr>
              <w:spacing w:after="0"/>
              <w:rPr>
                <w:sz w:val="1"/>
                <w:szCs w:val="1"/>
                <w:color w:val="auto"/>
              </w:rPr>
            </w:pPr>
          </w:p>
        </w:tc>
      </w:tr>
      <w:tr>
        <w:trPr>
          <w:trHeight w:val="229"/>
        </w:trPr>
        <w:tc>
          <w:tcPr>
            <w:tcW w:w="82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Scripps Networks</w:t>
            </w: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2,661,251</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2,753,971</w:t>
            </w:r>
          </w:p>
        </w:tc>
        <w:tc>
          <w:tcPr>
            <w:tcW w:w="0" w:type="dxa"/>
            <w:vAlign w:val="bottom"/>
          </w:tcPr>
          <w:p>
            <w:pPr>
              <w:spacing w:after="0"/>
              <w:rPr>
                <w:sz w:val="1"/>
                <w:szCs w:val="1"/>
                <w:color w:val="auto"/>
              </w:rPr>
            </w:pPr>
          </w:p>
        </w:tc>
      </w:tr>
      <w:tr>
        <w:trPr>
          <w:trHeight w:val="223"/>
        </w:trPr>
        <w:tc>
          <w:tcPr>
            <w:tcW w:w="82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Total assets by reportable segments</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4,942,608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5,077,935</w:t>
            </w:r>
          </w:p>
        </w:tc>
        <w:tc>
          <w:tcPr>
            <w:tcW w:w="0" w:type="dxa"/>
            <w:vAlign w:val="bottom"/>
          </w:tcPr>
          <w:p>
            <w:pPr>
              <w:spacing w:after="0"/>
              <w:rPr>
                <w:sz w:val="1"/>
                <w:szCs w:val="1"/>
                <w:color w:val="auto"/>
              </w:rPr>
            </w:pPr>
          </w:p>
        </w:tc>
      </w:tr>
      <w:tr>
        <w:trPr>
          <w:trHeight w:val="229"/>
        </w:trPr>
        <w:tc>
          <w:tcPr>
            <w:tcW w:w="8260" w:type="dxa"/>
            <w:vAlign w:val="bottom"/>
            <w:gridSpan w:val="2"/>
            <w:shd w:val="clear" w:color="auto" w:fill="CCEEFF"/>
          </w:tcPr>
          <w:p>
            <w:pPr>
              <w:ind w:left="180"/>
              <w:spacing w:after="0" w:line="230" w:lineRule="exact"/>
              <w:rPr>
                <w:sz w:val="20"/>
                <w:szCs w:val="20"/>
                <w:color w:val="auto"/>
              </w:rPr>
            </w:pPr>
            <w:r>
              <w:rPr>
                <w:rFonts w:ascii="Times New Roman" w:cs="Times New Roman" w:eastAsia="Times New Roman" w:hAnsi="Times New Roman"/>
                <w:sz w:val="18"/>
                <w:szCs w:val="18"/>
                <w:color w:val="auto"/>
              </w:rPr>
              <w:t>Other</w:t>
            </w:r>
            <w:r>
              <w:rPr>
                <w:rFonts w:ascii="Times New Roman" w:cs="Times New Roman" w:eastAsia="Times New Roman" w:hAnsi="Times New Roman"/>
                <w:sz w:val="23"/>
                <w:szCs w:val="23"/>
                <w:color w:val="auto"/>
                <w:vertAlign w:val="superscript"/>
              </w:rPr>
              <w:t>(a)</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34,846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34,800</w:t>
            </w:r>
          </w:p>
        </w:tc>
        <w:tc>
          <w:tcPr>
            <w:tcW w:w="0" w:type="dxa"/>
            <w:vAlign w:val="bottom"/>
          </w:tcPr>
          <w:p>
            <w:pPr>
              <w:spacing w:after="0"/>
              <w:rPr>
                <w:sz w:val="1"/>
                <w:szCs w:val="1"/>
                <w:color w:val="auto"/>
              </w:rPr>
            </w:pPr>
          </w:p>
        </w:tc>
      </w:tr>
      <w:tr>
        <w:trPr>
          <w:trHeight w:val="229"/>
        </w:trPr>
        <w:tc>
          <w:tcPr>
            <w:tcW w:w="8260" w:type="dxa"/>
            <w:vAlign w:val="bottom"/>
            <w:tcBorders>
              <w:bottom w:val="single" w:sz="8" w:color="CCEEFF"/>
            </w:tcBorders>
            <w:gridSpan w:val="2"/>
          </w:tcPr>
          <w:p>
            <w:pPr>
              <w:ind w:left="180"/>
              <w:spacing w:after="0"/>
              <w:rPr>
                <w:sz w:val="20"/>
                <w:szCs w:val="20"/>
                <w:color w:val="auto"/>
              </w:rPr>
            </w:pPr>
            <w:r>
              <w:rPr>
                <w:rFonts w:ascii="Times New Roman" w:cs="Times New Roman" w:eastAsia="Times New Roman" w:hAnsi="Times New Roman"/>
                <w:sz w:val="18"/>
                <w:szCs w:val="18"/>
                <w:color w:val="auto"/>
              </w:rPr>
              <w:t>Shared services and corporate</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110,283</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85,840</w:t>
            </w:r>
          </w:p>
        </w:tc>
        <w:tc>
          <w:tcPr>
            <w:tcW w:w="0" w:type="dxa"/>
            <w:vAlign w:val="bottom"/>
          </w:tcPr>
          <w:p>
            <w:pPr>
              <w:spacing w:after="0"/>
              <w:rPr>
                <w:sz w:val="1"/>
                <w:szCs w:val="1"/>
                <w:color w:val="auto"/>
              </w:rPr>
            </w:pPr>
          </w:p>
        </w:tc>
      </w:tr>
      <w:tr>
        <w:trPr>
          <w:trHeight w:val="248"/>
        </w:trPr>
        <w:tc>
          <w:tcPr>
            <w:tcW w:w="826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assets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5,087,737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5,198,575</w:t>
            </w:r>
          </w:p>
        </w:tc>
        <w:tc>
          <w:tcPr>
            <w:tcW w:w="0" w:type="dxa"/>
            <w:vAlign w:val="bottom"/>
          </w:tcPr>
          <w:p>
            <w:pPr>
              <w:spacing w:after="0"/>
              <w:rPr>
                <w:sz w:val="1"/>
                <w:szCs w:val="1"/>
                <w:color w:val="auto"/>
              </w:rPr>
            </w:pPr>
          </w:p>
        </w:tc>
      </w:tr>
      <w:tr>
        <w:trPr>
          <w:trHeight w:val="20"/>
        </w:trPr>
        <w:tc>
          <w:tcPr>
            <w:tcW w:w="8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2" w:lineRule="exact"/>
        <w:rPr>
          <w:sz w:val="20"/>
          <w:szCs w:val="20"/>
          <w:color w:val="auto"/>
        </w:rPr>
      </w:pPr>
    </w:p>
    <w:p>
      <w:pPr>
        <w:ind w:right="240" w:firstLine="8"/>
        <w:spacing w:after="0" w:line="302" w:lineRule="auto"/>
        <w:tabs>
          <w:tab w:leader="none" w:pos="196"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Reflects assets of operating segments below the reportable quantitative thresholds. These operating segments include our Tablo business, the Scripps National Spelling Bee and operational aspects of the Scripps News and Scripps Sports business units.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Capital Stock</w:t>
      </w:r>
    </w:p>
    <w:p>
      <w:pPr>
        <w:spacing w:after="0" w:line="185" w:lineRule="exact"/>
        <w:rPr>
          <w:sz w:val="20"/>
          <w:szCs w:val="20"/>
          <w:color w:val="auto"/>
        </w:rPr>
      </w:pPr>
    </w:p>
    <w:p>
      <w:pPr>
        <w:ind w:right="38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Capital Stock — </w:t>
      </w:r>
      <w:r>
        <w:rPr>
          <w:rFonts w:ascii="Times New Roman" w:cs="Times New Roman" w:eastAsia="Times New Roman" w:hAnsi="Times New Roman"/>
          <w:sz w:val="18"/>
          <w:szCs w:val="18"/>
          <w:color w:val="auto"/>
        </w:rPr>
        <w:t>We have two classes of common shares, Common Voting shares and Class A Common shares. The Class A Common shares are only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entitled to vote on the election of the greater of three or one-third of the directors and other matters as required by Ohio law.</w:t>
      </w:r>
    </w:p>
    <w:p>
      <w:pPr>
        <w:spacing w:after="0" w:line="118" w:lineRule="exact"/>
        <w:rPr>
          <w:sz w:val="20"/>
          <w:szCs w:val="20"/>
          <w:color w:val="auto"/>
        </w:rPr>
      </w:pPr>
    </w:p>
    <w:p>
      <w:pPr>
        <w:ind w:right="80" w:firstLine="405"/>
        <w:spacing w:after="0" w:line="258" w:lineRule="auto"/>
        <w:rPr>
          <w:sz w:val="20"/>
          <w:szCs w:val="20"/>
          <w:color w:val="auto"/>
        </w:rPr>
      </w:pPr>
      <w:r>
        <w:rPr>
          <w:rFonts w:ascii="Times New Roman" w:cs="Times New Roman" w:eastAsia="Times New Roman" w:hAnsi="Times New Roman"/>
          <w:sz w:val="18"/>
          <w:szCs w:val="18"/>
          <w:color w:val="auto"/>
        </w:rPr>
        <w:t>On January 7, 2021, we issued 6,000 shares of series A preferred stock, having a face value of $100,000 per share. The preferred shares are perpetual and will be redeemable at the option of the Company beginning on the fifth anniversary of issuance, and redeemable at the option of the holders in the event of a Change of Control (as defined in the terms of the preferred shares), in each case at a redemption price of 105% of the face value, plus accrued and unpaid dividends (whether or not declared). The 9% per annum dividend rate on the preferred shares, which compounds quarterly, will be incurred at that rate for the remaining periods that the preferred shares are outstanding.</w:t>
      </w:r>
    </w:p>
    <w:p>
      <w:pPr>
        <w:spacing w:after="0" w:line="156" w:lineRule="exact"/>
        <w:rPr>
          <w:sz w:val="20"/>
          <w:szCs w:val="20"/>
          <w:color w:val="auto"/>
        </w:rPr>
      </w:pPr>
    </w:p>
    <w:p>
      <w:pPr>
        <w:ind w:right="560" w:firstLine="405"/>
        <w:spacing w:after="0" w:line="312" w:lineRule="auto"/>
        <w:rPr>
          <w:sz w:val="20"/>
          <w:szCs w:val="20"/>
          <w:color w:val="auto"/>
        </w:rPr>
      </w:pPr>
      <w:r>
        <w:rPr>
          <w:rFonts w:ascii="Times New Roman" w:cs="Times New Roman" w:eastAsia="Times New Roman" w:hAnsi="Times New Roman"/>
          <w:sz w:val="17"/>
          <w:szCs w:val="17"/>
          <w:color w:val="auto"/>
        </w:rPr>
        <w:t>We did not declare or provide payment for the preferred stock dividend in either quarter of 2025 or any of the 2024 quarters. At June 30, 2025, aggregated undeclared and unpaid cumulative dividends totaled $85.7 million and the redemption value of the preferred stock totaled $718 million.</w:t>
      </w:r>
    </w:p>
    <w:p>
      <w:pPr>
        <w:spacing w:after="0" w:line="99" w:lineRule="exact"/>
        <w:rPr>
          <w:sz w:val="20"/>
          <w:szCs w:val="20"/>
          <w:color w:val="auto"/>
        </w:rPr>
      </w:pPr>
    </w:p>
    <w:p>
      <w:pPr>
        <w:ind w:right="220" w:firstLine="405"/>
        <w:spacing w:after="0" w:line="282" w:lineRule="auto"/>
        <w:rPr>
          <w:sz w:val="20"/>
          <w:szCs w:val="20"/>
          <w:color w:val="auto"/>
        </w:rPr>
      </w:pPr>
      <w:r>
        <w:rPr>
          <w:rFonts w:ascii="Times New Roman" w:cs="Times New Roman" w:eastAsia="Times New Roman" w:hAnsi="Times New Roman"/>
          <w:sz w:val="18"/>
          <w:szCs w:val="18"/>
          <w:color w:val="auto"/>
        </w:rPr>
        <w:t>Under the terms of the preferred shares, we are prohibited from paying dividends on and repurchasing our common shares until all preferred shares are redeemed.</w:t>
      </w:r>
    </w:p>
    <w:p>
      <w:pPr>
        <w:spacing w:after="0" w:line="117" w:lineRule="exact"/>
        <w:rPr>
          <w:sz w:val="20"/>
          <w:szCs w:val="20"/>
          <w:color w:val="auto"/>
        </w:rPr>
      </w:pPr>
    </w:p>
    <w:p>
      <w:pPr>
        <w:ind w:right="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Class A Common Shares Stock Warrant — </w:t>
      </w:r>
      <w:r>
        <w:rPr>
          <w:rFonts w:ascii="Times New Roman" w:cs="Times New Roman" w:eastAsia="Times New Roman" w:hAnsi="Times New Roman"/>
          <w:sz w:val="18"/>
          <w:szCs w:val="18"/>
          <w:color w:val="auto"/>
        </w:rPr>
        <w:t>In connection with the issuance of the preferred shares, Berkshire Hathaway, Inc. ("Berkshire Hathaway")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also received a warrant to purchase up to 23.1 million Class A shares, at an exercise price of $13 per share. The warrant is exercisable at the holder's option at any time or from time to time, in whole or in part, until the first anniversary of the date on which no preferred shares remain outstanding.</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Accumulated Other Comprehensive Income (Loss)</w:t>
      </w:r>
    </w:p>
    <w:p>
      <w:pPr>
        <w:spacing w:after="0" w:line="256" w:lineRule="exact"/>
        <w:rPr>
          <w:sz w:val="20"/>
          <w:szCs w:val="20"/>
          <w:color w:val="auto"/>
        </w:rPr>
      </w:pPr>
    </w:p>
    <w:p>
      <w:pPr>
        <w:ind w:right="1020" w:firstLine="405"/>
        <w:spacing w:after="0" w:line="282" w:lineRule="auto"/>
        <w:rPr>
          <w:sz w:val="20"/>
          <w:szCs w:val="20"/>
          <w:color w:val="auto"/>
        </w:rPr>
      </w:pPr>
      <w:r>
        <w:rPr>
          <w:rFonts w:ascii="Times New Roman" w:cs="Times New Roman" w:eastAsia="Times New Roman" w:hAnsi="Times New Roman"/>
          <w:sz w:val="18"/>
          <w:szCs w:val="18"/>
          <w:color w:val="auto"/>
        </w:rPr>
        <w:t>Changes in accumulated other comprehensive income (loss) ("AOCI") by component, including items reclassified out of AOCI, were as follows: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3600" w:type="dxa"/>
            <w:vAlign w:val="bottom"/>
            <w:tcBorders>
              <w:bottom w:val="single" w:sz="8" w:color="auto"/>
            </w:tcBorders>
            <w:gridSpan w:val="6"/>
          </w:tcPr>
          <w:p>
            <w:pPr>
              <w:ind w:left="1140"/>
              <w:spacing w:after="0"/>
              <w:rPr>
                <w:sz w:val="20"/>
                <w:szCs w:val="20"/>
                <w:color w:val="auto"/>
              </w:rPr>
            </w:pPr>
            <w:r>
              <w:rPr>
                <w:rFonts w:ascii="Times New Roman" w:cs="Times New Roman" w:eastAsia="Times New Roman" w:hAnsi="Times New Roman"/>
                <w:sz w:val="16"/>
                <w:szCs w:val="16"/>
                <w:color w:val="auto"/>
              </w:rPr>
              <w:t>Three Months Ended June 30, 2025</w:t>
            </w:r>
          </w:p>
        </w:tc>
        <w:tc>
          <w:tcPr>
            <w:tcW w:w="1140" w:type="dxa"/>
            <w:vAlign w:val="bottom"/>
            <w:tcBorders>
              <w:bottom w:val="single" w:sz="8" w:color="auto"/>
            </w:tcBorders>
          </w:tcPr>
          <w:p>
            <w:pPr>
              <w:spacing w:after="0"/>
              <w:rPr>
                <w:sz w:val="18"/>
                <w:szCs w:val="18"/>
                <w:color w:val="auto"/>
              </w:rPr>
            </w:pPr>
          </w:p>
        </w:tc>
      </w:tr>
      <w:tr>
        <w:trPr>
          <w:trHeight w:val="181"/>
        </w:trPr>
        <w:tc>
          <w:tcPr>
            <w:tcW w:w="6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20" w:type="dxa"/>
            <w:vAlign w:val="bottom"/>
            <w:gridSpan w:val="2"/>
          </w:tcPr>
          <w:p>
            <w:pPr>
              <w:ind w:left="40"/>
              <w:spacing w:after="0" w:line="181" w:lineRule="exact"/>
              <w:rPr>
                <w:sz w:val="20"/>
                <w:szCs w:val="20"/>
                <w:color w:val="auto"/>
              </w:rPr>
            </w:pPr>
            <w:r>
              <w:rPr>
                <w:rFonts w:ascii="Times New Roman" w:cs="Times New Roman" w:eastAsia="Times New Roman" w:hAnsi="Times New Roman"/>
                <w:sz w:val="18"/>
                <w:szCs w:val="18"/>
                <w:color w:val="auto"/>
              </w:rPr>
              <w:t>Defined Benefit</w:t>
            </w:r>
          </w:p>
        </w:tc>
        <w:tc>
          <w:tcPr>
            <w:tcW w:w="3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234"/>
        </w:trPr>
        <w:tc>
          <w:tcPr>
            <w:tcW w:w="6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160" w:type="dxa"/>
            <w:vAlign w:val="bottom"/>
          </w:tcPr>
          <w:p>
            <w:pPr>
              <w:spacing w:after="0"/>
              <w:rPr>
                <w:sz w:val="20"/>
                <w:szCs w:val="20"/>
                <w:color w:val="auto"/>
              </w:rPr>
            </w:pPr>
          </w:p>
        </w:tc>
        <w:tc>
          <w:tcPr>
            <w:tcW w:w="15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Pension Items</w:t>
            </w:r>
          </w:p>
        </w:tc>
        <w:tc>
          <w:tcPr>
            <w:tcW w:w="340" w:type="dxa"/>
            <w:vAlign w:val="bottom"/>
          </w:tcPr>
          <w:p>
            <w:pPr>
              <w:spacing w:after="0"/>
              <w:rPr>
                <w:sz w:val="20"/>
                <w:szCs w:val="20"/>
                <w:color w:val="auto"/>
              </w:rPr>
            </w:pPr>
          </w:p>
        </w:tc>
        <w:tc>
          <w:tcPr>
            <w:tcW w:w="13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420" w:type="dxa"/>
            <w:vAlign w:val="bottom"/>
          </w:tcPr>
          <w:p>
            <w:pPr>
              <w:spacing w:after="0"/>
              <w:rPr>
                <w:sz w:val="20"/>
                <w:szCs w:val="20"/>
                <w:color w:val="auto"/>
              </w:rPr>
            </w:pPr>
          </w:p>
        </w:tc>
        <w:tc>
          <w:tcPr>
            <w:tcW w:w="1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w:t>
            </w:r>
          </w:p>
        </w:tc>
      </w:tr>
      <w:tr>
        <w:trPr>
          <w:trHeight w:val="34"/>
        </w:trPr>
        <w:tc>
          <w:tcPr>
            <w:tcW w:w="624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140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top w:val="single" w:sz="8" w:color="auto"/>
            </w:tcBorders>
          </w:tcPr>
          <w:p>
            <w:pPr>
              <w:spacing w:after="0"/>
              <w:rPr>
                <w:sz w:val="2"/>
                <w:szCs w:val="2"/>
                <w:color w:val="auto"/>
              </w:rPr>
            </w:pPr>
          </w:p>
        </w:tc>
        <w:tc>
          <w:tcPr>
            <w:tcW w:w="120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Borders>
              <w:top w:val="single" w:sz="8" w:color="auto"/>
            </w:tcBorders>
          </w:tcPr>
          <w:p>
            <w:pPr>
              <w:spacing w:after="0"/>
              <w:rPr>
                <w:sz w:val="2"/>
                <w:szCs w:val="2"/>
                <w:color w:val="auto"/>
              </w:rPr>
            </w:pPr>
          </w:p>
        </w:tc>
        <w:tc>
          <w:tcPr>
            <w:tcW w:w="1140" w:type="dxa"/>
            <w:vAlign w:val="bottom"/>
            <w:tcBorders>
              <w:top w:val="single" w:sz="8" w:color="auto"/>
            </w:tcBorders>
          </w:tcPr>
          <w:p>
            <w:pPr>
              <w:spacing w:after="0"/>
              <w:rPr>
                <w:sz w:val="2"/>
                <w:szCs w:val="2"/>
                <w:color w:val="auto"/>
              </w:rPr>
            </w:pPr>
          </w:p>
        </w:tc>
      </w:tr>
      <w:tr>
        <w:trPr>
          <w:trHeight w:val="229"/>
        </w:trPr>
        <w:tc>
          <w:tcPr>
            <w:tcW w:w="6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balance, March 31, 2025</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(74,932)</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(75,270)</w:t>
            </w:r>
          </w:p>
        </w:tc>
      </w:tr>
      <w:tr>
        <w:trPr>
          <w:trHeight w:val="223"/>
        </w:trPr>
        <w:tc>
          <w:tcPr>
            <w:tcW w:w="6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 before reclassifications</w:t>
            </w:r>
          </w:p>
        </w:tc>
        <w:tc>
          <w:tcPr>
            <w:tcW w:w="160" w:type="dxa"/>
            <w:vAlign w:val="bottom"/>
          </w:tcPr>
          <w:p>
            <w:pPr>
              <w:spacing w:after="0"/>
              <w:rPr>
                <w:sz w:val="19"/>
                <w:szCs w:val="19"/>
                <w:color w:val="auto"/>
              </w:rPr>
            </w:pPr>
          </w:p>
        </w:tc>
        <w:tc>
          <w:tcPr>
            <w:tcW w:w="1400" w:type="dxa"/>
            <w:vAlign w:val="bottom"/>
          </w:tcPr>
          <w:p>
            <w:pPr>
              <w:ind w:left="1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4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34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Amounts reclassified from AOCI, net of tax of $11</w:t>
            </w:r>
            <w:r>
              <w:rPr>
                <w:rFonts w:ascii="Times New Roman" w:cs="Times New Roman" w:eastAsia="Times New Roman" w:hAnsi="Times New Roman"/>
                <w:sz w:val="23"/>
                <w:szCs w:val="23"/>
                <w:color w:val="auto"/>
                <w:vertAlign w:val="superscript"/>
              </w:rPr>
              <w:t>(a)</w:t>
            </w:r>
          </w:p>
        </w:tc>
        <w:tc>
          <w:tcPr>
            <w:tcW w:w="1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ind w:left="1160"/>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36</w:t>
            </w:r>
          </w:p>
        </w:tc>
      </w:tr>
      <w:tr>
        <w:trPr>
          <w:trHeight w:val="223"/>
        </w:trPr>
        <w:tc>
          <w:tcPr>
            <w:tcW w:w="63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Net current-period other comprehensive income (loss)</w:t>
            </w: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ind w:left="1160"/>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ind w:left="960"/>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ind w:left="880"/>
              <w:spacing w:after="0"/>
              <w:rPr>
                <w:sz w:val="20"/>
                <w:szCs w:val="20"/>
                <w:color w:val="auto"/>
              </w:rPr>
            </w:pPr>
            <w:r>
              <w:rPr>
                <w:rFonts w:ascii="Times New Roman" w:cs="Times New Roman" w:eastAsia="Times New Roman" w:hAnsi="Times New Roman"/>
                <w:sz w:val="18"/>
                <w:szCs w:val="18"/>
                <w:color w:val="auto"/>
              </w:rPr>
              <w:t>36</w:t>
            </w:r>
          </w:p>
        </w:tc>
      </w:tr>
      <w:tr>
        <w:trPr>
          <w:trHeight w:val="248"/>
        </w:trPr>
        <w:tc>
          <w:tcPr>
            <w:tcW w:w="63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Ending balance, June 30, 2025</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(74,907)</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(75,234)</w:t>
            </w:r>
          </w:p>
        </w:tc>
      </w:tr>
      <w:tr>
        <w:trPr>
          <w:trHeight w:val="20"/>
        </w:trPr>
        <w:tc>
          <w:tcPr>
            <w:tcW w:w="6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29" w:name="page30"/>
    <w:bookmarkEnd w:id="29"/>
    <w:tbl>
      <w:tblPr>
        <w:tblLayout w:type="fixed"/>
        <w:tblInd w:w="0" w:type="dxa"/>
        <w:tblCellMar>
          <w:top w:w="0" w:type="dxa"/>
          <w:left w:w="0" w:type="dxa"/>
          <w:bottom w:w="0" w:type="dxa"/>
          <w:right w:w="0" w:type="dxa"/>
        </w:tblCellMar>
      </w:tblPr>
      <w:tr>
        <w:trPr>
          <w:trHeight w:val="213"/>
        </w:trPr>
        <w:tc>
          <w:tcPr>
            <w:tcW w:w="6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3620" w:type="dxa"/>
            <w:vAlign w:val="bottom"/>
            <w:tcBorders>
              <w:bottom w:val="single" w:sz="8" w:color="auto"/>
            </w:tcBorders>
            <w:gridSpan w:val="6"/>
          </w:tcPr>
          <w:p>
            <w:pPr>
              <w:ind w:left="1140"/>
              <w:spacing w:after="0"/>
              <w:rPr>
                <w:sz w:val="20"/>
                <w:szCs w:val="20"/>
                <w:color w:val="auto"/>
              </w:rPr>
            </w:pPr>
            <w:r>
              <w:rPr>
                <w:rFonts w:ascii="Times New Roman" w:cs="Times New Roman" w:eastAsia="Times New Roman" w:hAnsi="Times New Roman"/>
                <w:sz w:val="16"/>
                <w:szCs w:val="16"/>
                <w:color w:val="auto"/>
              </w:rPr>
              <w:t>Three Months Ended June 30, 2024</w:t>
            </w:r>
          </w:p>
        </w:tc>
        <w:tc>
          <w:tcPr>
            <w:tcW w:w="1120" w:type="dxa"/>
            <w:vAlign w:val="bottom"/>
            <w:tcBorders>
              <w:bottom w:val="single" w:sz="8" w:color="auto"/>
            </w:tcBorders>
          </w:tcPr>
          <w:p>
            <w:pPr>
              <w:spacing w:after="0"/>
              <w:rPr>
                <w:sz w:val="18"/>
                <w:szCs w:val="18"/>
                <w:color w:val="auto"/>
              </w:rPr>
            </w:pPr>
          </w:p>
        </w:tc>
      </w:tr>
      <w:tr>
        <w:trPr>
          <w:trHeight w:val="172"/>
        </w:trPr>
        <w:tc>
          <w:tcPr>
            <w:tcW w:w="6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20" w:type="dxa"/>
            <w:vAlign w:val="bottom"/>
            <w:gridSpan w:val="2"/>
          </w:tcPr>
          <w:p>
            <w:pPr>
              <w:jc w:val="center"/>
              <w:ind w:right="280"/>
              <w:spacing w:after="0" w:line="172" w:lineRule="exact"/>
              <w:rPr>
                <w:sz w:val="20"/>
                <w:szCs w:val="20"/>
                <w:color w:val="auto"/>
              </w:rPr>
            </w:pPr>
            <w:r>
              <w:rPr>
                <w:rFonts w:ascii="Times New Roman" w:cs="Times New Roman" w:eastAsia="Times New Roman" w:hAnsi="Times New Roman"/>
                <w:sz w:val="18"/>
                <w:szCs w:val="18"/>
                <w:color w:val="auto"/>
              </w:rPr>
              <w:t>Defined Benefit</w:t>
            </w:r>
          </w:p>
        </w:tc>
        <w:tc>
          <w:tcPr>
            <w:tcW w:w="3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243"/>
        </w:trPr>
        <w:tc>
          <w:tcPr>
            <w:tcW w:w="6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160" w:type="dxa"/>
            <w:vAlign w:val="bottom"/>
          </w:tcPr>
          <w:p>
            <w:pPr>
              <w:spacing w:after="0"/>
              <w:rPr>
                <w:sz w:val="21"/>
                <w:szCs w:val="21"/>
                <w:color w:val="auto"/>
              </w:rPr>
            </w:pPr>
          </w:p>
        </w:tc>
        <w:tc>
          <w:tcPr>
            <w:tcW w:w="152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8"/>
              </w:rPr>
              <w:t>Pension Items</w:t>
            </w:r>
          </w:p>
        </w:tc>
        <w:tc>
          <w:tcPr>
            <w:tcW w:w="340" w:type="dxa"/>
            <w:vAlign w:val="bottom"/>
          </w:tcPr>
          <w:p>
            <w:pPr>
              <w:spacing w:after="0"/>
              <w:rPr>
                <w:sz w:val="21"/>
                <w:szCs w:val="21"/>
                <w:color w:val="auto"/>
              </w:rPr>
            </w:pPr>
          </w:p>
        </w:tc>
        <w:tc>
          <w:tcPr>
            <w:tcW w:w="132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color w:val="auto"/>
              </w:rPr>
              <w:t>Other</w:t>
            </w:r>
          </w:p>
        </w:tc>
        <w:tc>
          <w:tcPr>
            <w:tcW w:w="440" w:type="dxa"/>
            <w:vAlign w:val="bottom"/>
          </w:tcPr>
          <w:p>
            <w:pPr>
              <w:spacing w:after="0"/>
              <w:rPr>
                <w:sz w:val="21"/>
                <w:szCs w:val="21"/>
                <w:color w:val="auto"/>
              </w:rPr>
            </w:pPr>
          </w:p>
        </w:tc>
        <w:tc>
          <w:tcPr>
            <w:tcW w:w="11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Total</w:t>
            </w:r>
          </w:p>
        </w:tc>
      </w:tr>
      <w:tr>
        <w:trPr>
          <w:trHeight w:val="34"/>
        </w:trPr>
        <w:tc>
          <w:tcPr>
            <w:tcW w:w="624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140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top w:val="single" w:sz="8" w:color="auto"/>
            </w:tcBorders>
          </w:tcPr>
          <w:p>
            <w:pPr>
              <w:spacing w:after="0"/>
              <w:rPr>
                <w:sz w:val="2"/>
                <w:szCs w:val="2"/>
                <w:color w:val="auto"/>
              </w:rPr>
            </w:pPr>
          </w:p>
        </w:tc>
        <w:tc>
          <w:tcPr>
            <w:tcW w:w="120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Borders>
              <w:top w:val="single" w:sz="8" w:color="auto"/>
            </w:tcBorders>
          </w:tcPr>
          <w:p>
            <w:pPr>
              <w:spacing w:after="0"/>
              <w:rPr>
                <w:sz w:val="2"/>
                <w:szCs w:val="2"/>
                <w:color w:val="auto"/>
              </w:rPr>
            </w:pPr>
          </w:p>
        </w:tc>
        <w:tc>
          <w:tcPr>
            <w:tcW w:w="1120" w:type="dxa"/>
            <w:vAlign w:val="bottom"/>
            <w:tcBorders>
              <w:top w:val="single" w:sz="8" w:color="auto"/>
            </w:tcBorders>
          </w:tcPr>
          <w:p>
            <w:pPr>
              <w:spacing w:after="0"/>
              <w:rPr>
                <w:sz w:val="2"/>
                <w:szCs w:val="2"/>
                <w:color w:val="auto"/>
              </w:rPr>
            </w:pPr>
          </w:p>
        </w:tc>
      </w:tr>
      <w:tr>
        <w:trPr>
          <w:trHeight w:val="229"/>
        </w:trPr>
        <w:tc>
          <w:tcPr>
            <w:tcW w:w="6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balance, March 31, 2024</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(75,218)</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(75,476)</w:t>
            </w:r>
          </w:p>
        </w:tc>
      </w:tr>
      <w:tr>
        <w:trPr>
          <w:trHeight w:val="223"/>
        </w:trPr>
        <w:tc>
          <w:tcPr>
            <w:tcW w:w="6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 before reclassifications</w:t>
            </w:r>
          </w:p>
        </w:tc>
        <w:tc>
          <w:tcPr>
            <w:tcW w:w="160" w:type="dxa"/>
            <w:vAlign w:val="bottom"/>
          </w:tcPr>
          <w:p>
            <w:pPr>
              <w:spacing w:after="0"/>
              <w:rPr>
                <w:sz w:val="19"/>
                <w:szCs w:val="19"/>
                <w:color w:val="auto"/>
              </w:rPr>
            </w:pPr>
          </w:p>
        </w:tc>
        <w:tc>
          <w:tcPr>
            <w:tcW w:w="1400" w:type="dxa"/>
            <w:vAlign w:val="bottom"/>
          </w:tcPr>
          <w:p>
            <w:pPr>
              <w:ind w:left="1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2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34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Amounts reclassified from AOCI, net of tax of $11 </w:t>
            </w:r>
            <w:r>
              <w:rPr>
                <w:rFonts w:ascii="Times New Roman" w:cs="Times New Roman" w:eastAsia="Times New Roman" w:hAnsi="Times New Roman"/>
                <w:sz w:val="23"/>
                <w:szCs w:val="23"/>
                <w:color w:val="auto"/>
                <w:vertAlign w:val="superscript"/>
              </w:rPr>
              <w:t>(a)</w:t>
            </w:r>
          </w:p>
        </w:tc>
        <w:tc>
          <w:tcPr>
            <w:tcW w:w="1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ind w:left="1160"/>
              <w:spacing w:after="0"/>
              <w:rPr>
                <w:sz w:val="20"/>
                <w:szCs w:val="20"/>
                <w:color w:val="auto"/>
              </w:rPr>
            </w:pPr>
            <w:r>
              <w:rPr>
                <w:rFonts w:ascii="Times New Roman" w:cs="Times New Roman" w:eastAsia="Times New Roman" w:hAnsi="Times New Roman"/>
                <w:sz w:val="18"/>
                <w:szCs w:val="18"/>
                <w:color w:val="auto"/>
              </w:rPr>
              <w:t>29</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34</w:t>
            </w:r>
          </w:p>
        </w:tc>
      </w:tr>
      <w:tr>
        <w:trPr>
          <w:trHeight w:val="223"/>
        </w:trPr>
        <w:tc>
          <w:tcPr>
            <w:tcW w:w="63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Net current-period other comprehensive income (loss)</w:t>
            </w: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ind w:left="1160"/>
              <w:spacing w:after="0"/>
              <w:rPr>
                <w:sz w:val="20"/>
                <w:szCs w:val="20"/>
                <w:color w:val="auto"/>
              </w:rPr>
            </w:pPr>
            <w:r>
              <w:rPr>
                <w:rFonts w:ascii="Times New Roman" w:cs="Times New Roman" w:eastAsia="Times New Roman" w:hAnsi="Times New Roman"/>
                <w:sz w:val="18"/>
                <w:szCs w:val="18"/>
                <w:color w:val="auto"/>
              </w:rPr>
              <w:t>29</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ind w:left="860"/>
              <w:spacing w:after="0"/>
              <w:rPr>
                <w:sz w:val="20"/>
                <w:szCs w:val="20"/>
                <w:color w:val="auto"/>
              </w:rPr>
            </w:pPr>
            <w:r>
              <w:rPr>
                <w:rFonts w:ascii="Times New Roman" w:cs="Times New Roman" w:eastAsia="Times New Roman" w:hAnsi="Times New Roman"/>
                <w:sz w:val="18"/>
                <w:szCs w:val="18"/>
                <w:color w:val="auto"/>
              </w:rPr>
              <w:t>34</w:t>
            </w:r>
          </w:p>
        </w:tc>
      </w:tr>
      <w:tr>
        <w:trPr>
          <w:trHeight w:val="248"/>
        </w:trPr>
        <w:tc>
          <w:tcPr>
            <w:tcW w:w="63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Ending balance, June 30, 2024</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(75,189)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(75,442)</w:t>
            </w:r>
          </w:p>
        </w:tc>
      </w:tr>
      <w:tr>
        <w:trPr>
          <w:trHeight w:val="20"/>
        </w:trPr>
        <w:tc>
          <w:tcPr>
            <w:tcW w:w="6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r>
        <w:trPr>
          <w:trHeight w:val="568"/>
        </w:trPr>
        <w:tc>
          <w:tcPr>
            <w:tcW w:w="6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620" w:type="dxa"/>
            <w:vAlign w:val="bottom"/>
            <w:tcBorders>
              <w:bottom w:val="single" w:sz="8" w:color="auto"/>
            </w:tcBorders>
            <w:gridSpan w:val="6"/>
          </w:tcPr>
          <w:p>
            <w:pPr>
              <w:jc w:val="center"/>
              <w:ind w:left="870"/>
              <w:spacing w:after="0"/>
              <w:rPr>
                <w:sz w:val="20"/>
                <w:szCs w:val="20"/>
                <w:color w:val="auto"/>
              </w:rPr>
            </w:pPr>
            <w:r>
              <w:rPr>
                <w:rFonts w:ascii="Times New Roman" w:cs="Times New Roman" w:eastAsia="Times New Roman" w:hAnsi="Times New Roman"/>
                <w:sz w:val="18"/>
                <w:szCs w:val="18"/>
                <w:color w:val="auto"/>
                <w:w w:val="99"/>
              </w:rPr>
              <w:t>Six Months Ended June 30, 2025</w:t>
            </w:r>
          </w:p>
        </w:tc>
        <w:tc>
          <w:tcPr>
            <w:tcW w:w="1120" w:type="dxa"/>
            <w:vAlign w:val="bottom"/>
            <w:tcBorders>
              <w:bottom w:val="single" w:sz="8" w:color="auto"/>
            </w:tcBorders>
          </w:tcPr>
          <w:p>
            <w:pPr>
              <w:spacing w:after="0"/>
              <w:rPr>
                <w:sz w:val="24"/>
                <w:szCs w:val="24"/>
                <w:color w:val="auto"/>
              </w:rPr>
            </w:pPr>
          </w:p>
        </w:tc>
      </w:tr>
      <w:tr>
        <w:trPr>
          <w:trHeight w:val="169"/>
        </w:trPr>
        <w:tc>
          <w:tcPr>
            <w:tcW w:w="6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20" w:type="dxa"/>
            <w:vAlign w:val="bottom"/>
            <w:gridSpan w:val="2"/>
          </w:tcPr>
          <w:p>
            <w:pPr>
              <w:jc w:val="center"/>
              <w:ind w:right="280"/>
              <w:spacing w:after="0" w:line="169" w:lineRule="exact"/>
              <w:rPr>
                <w:sz w:val="20"/>
                <w:szCs w:val="20"/>
                <w:color w:val="auto"/>
              </w:rPr>
            </w:pPr>
            <w:r>
              <w:rPr>
                <w:rFonts w:ascii="Times New Roman" w:cs="Times New Roman" w:eastAsia="Times New Roman" w:hAnsi="Times New Roman"/>
                <w:sz w:val="18"/>
                <w:szCs w:val="18"/>
                <w:color w:val="auto"/>
              </w:rPr>
              <w:t>Defined Benefit</w:t>
            </w:r>
          </w:p>
        </w:tc>
        <w:tc>
          <w:tcPr>
            <w:tcW w:w="3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243"/>
        </w:trPr>
        <w:tc>
          <w:tcPr>
            <w:tcW w:w="6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160" w:type="dxa"/>
            <w:vAlign w:val="bottom"/>
          </w:tcPr>
          <w:p>
            <w:pPr>
              <w:spacing w:after="0"/>
              <w:rPr>
                <w:sz w:val="21"/>
                <w:szCs w:val="21"/>
                <w:color w:val="auto"/>
              </w:rPr>
            </w:pPr>
          </w:p>
        </w:tc>
        <w:tc>
          <w:tcPr>
            <w:tcW w:w="152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8"/>
              </w:rPr>
              <w:t>Pension Items</w:t>
            </w:r>
          </w:p>
        </w:tc>
        <w:tc>
          <w:tcPr>
            <w:tcW w:w="340" w:type="dxa"/>
            <w:vAlign w:val="bottom"/>
          </w:tcPr>
          <w:p>
            <w:pPr>
              <w:spacing w:after="0"/>
              <w:rPr>
                <w:sz w:val="21"/>
                <w:szCs w:val="21"/>
                <w:color w:val="auto"/>
              </w:rPr>
            </w:pPr>
          </w:p>
        </w:tc>
        <w:tc>
          <w:tcPr>
            <w:tcW w:w="132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color w:val="auto"/>
              </w:rPr>
              <w:t>Other</w:t>
            </w:r>
          </w:p>
        </w:tc>
        <w:tc>
          <w:tcPr>
            <w:tcW w:w="440" w:type="dxa"/>
            <w:vAlign w:val="bottom"/>
          </w:tcPr>
          <w:p>
            <w:pPr>
              <w:spacing w:after="0"/>
              <w:rPr>
                <w:sz w:val="21"/>
                <w:szCs w:val="21"/>
                <w:color w:val="auto"/>
              </w:rPr>
            </w:pPr>
          </w:p>
        </w:tc>
        <w:tc>
          <w:tcPr>
            <w:tcW w:w="11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Total</w:t>
            </w:r>
          </w:p>
        </w:tc>
      </w:tr>
      <w:tr>
        <w:trPr>
          <w:trHeight w:val="34"/>
        </w:trPr>
        <w:tc>
          <w:tcPr>
            <w:tcW w:w="624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140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top w:val="single" w:sz="8" w:color="auto"/>
            </w:tcBorders>
          </w:tcPr>
          <w:p>
            <w:pPr>
              <w:spacing w:after="0"/>
              <w:rPr>
                <w:sz w:val="2"/>
                <w:szCs w:val="2"/>
                <w:color w:val="auto"/>
              </w:rPr>
            </w:pPr>
          </w:p>
        </w:tc>
        <w:tc>
          <w:tcPr>
            <w:tcW w:w="120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Borders>
              <w:top w:val="single" w:sz="8" w:color="auto"/>
            </w:tcBorders>
          </w:tcPr>
          <w:p>
            <w:pPr>
              <w:spacing w:after="0"/>
              <w:rPr>
                <w:sz w:val="2"/>
                <w:szCs w:val="2"/>
                <w:color w:val="auto"/>
              </w:rPr>
            </w:pPr>
          </w:p>
        </w:tc>
        <w:tc>
          <w:tcPr>
            <w:tcW w:w="1120" w:type="dxa"/>
            <w:vAlign w:val="bottom"/>
            <w:tcBorders>
              <w:top w:val="single" w:sz="8" w:color="auto"/>
            </w:tcBorders>
          </w:tcPr>
          <w:p>
            <w:pPr>
              <w:spacing w:after="0"/>
              <w:rPr>
                <w:sz w:val="2"/>
                <w:szCs w:val="2"/>
                <w:color w:val="auto"/>
              </w:rPr>
            </w:pPr>
          </w:p>
        </w:tc>
      </w:tr>
      <w:tr>
        <w:trPr>
          <w:trHeight w:val="230"/>
        </w:trPr>
        <w:tc>
          <w:tcPr>
            <w:tcW w:w="6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balance, December 31, 2024</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(74,957)</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(75,306)</w:t>
            </w:r>
          </w:p>
        </w:tc>
      </w:tr>
      <w:tr>
        <w:trPr>
          <w:trHeight w:val="223"/>
        </w:trPr>
        <w:tc>
          <w:tcPr>
            <w:tcW w:w="6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 before reclassifications</w:t>
            </w:r>
          </w:p>
        </w:tc>
        <w:tc>
          <w:tcPr>
            <w:tcW w:w="160" w:type="dxa"/>
            <w:vAlign w:val="bottom"/>
          </w:tcPr>
          <w:p>
            <w:pPr>
              <w:spacing w:after="0"/>
              <w:rPr>
                <w:sz w:val="19"/>
                <w:szCs w:val="19"/>
                <w:color w:val="auto"/>
              </w:rPr>
            </w:pPr>
          </w:p>
        </w:tc>
        <w:tc>
          <w:tcPr>
            <w:tcW w:w="1400" w:type="dxa"/>
            <w:vAlign w:val="bottom"/>
          </w:tcPr>
          <w:p>
            <w:pPr>
              <w:ind w:left="1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2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34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Amounts reclassified from AOCI, net of tax of $23</w:t>
            </w:r>
            <w:r>
              <w:rPr>
                <w:rFonts w:ascii="Times New Roman" w:cs="Times New Roman" w:eastAsia="Times New Roman" w:hAnsi="Times New Roman"/>
                <w:sz w:val="23"/>
                <w:szCs w:val="23"/>
                <w:color w:val="auto"/>
                <w:vertAlign w:val="superscript"/>
              </w:rPr>
              <w:t>(a)</w:t>
            </w:r>
          </w:p>
        </w:tc>
        <w:tc>
          <w:tcPr>
            <w:tcW w:w="1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ind w:left="1160"/>
              <w:spacing w:after="0"/>
              <w:rPr>
                <w:sz w:val="20"/>
                <w:szCs w:val="20"/>
                <w:color w:val="auto"/>
              </w:rPr>
            </w:pPr>
            <w:r>
              <w:rPr>
                <w:rFonts w:ascii="Times New Roman" w:cs="Times New Roman" w:eastAsia="Times New Roman" w:hAnsi="Times New Roman"/>
                <w:sz w:val="18"/>
                <w:szCs w:val="18"/>
                <w:color w:val="auto"/>
              </w:rPr>
              <w:t>50</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72</w:t>
            </w:r>
          </w:p>
        </w:tc>
      </w:tr>
      <w:tr>
        <w:trPr>
          <w:trHeight w:val="223"/>
        </w:trPr>
        <w:tc>
          <w:tcPr>
            <w:tcW w:w="63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Net current-period other comprehensive income (loss)</w:t>
            </w: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ind w:left="1160"/>
              <w:spacing w:after="0"/>
              <w:rPr>
                <w:sz w:val="20"/>
                <w:szCs w:val="20"/>
                <w:color w:val="auto"/>
              </w:rPr>
            </w:pPr>
            <w:r>
              <w:rPr>
                <w:rFonts w:ascii="Times New Roman" w:cs="Times New Roman" w:eastAsia="Times New Roman" w:hAnsi="Times New Roman"/>
                <w:sz w:val="18"/>
                <w:szCs w:val="18"/>
                <w:color w:val="auto"/>
              </w:rPr>
              <w:t>50</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ind w:left="860"/>
              <w:spacing w:after="0"/>
              <w:rPr>
                <w:sz w:val="20"/>
                <w:szCs w:val="20"/>
                <w:color w:val="auto"/>
              </w:rPr>
            </w:pPr>
            <w:r>
              <w:rPr>
                <w:rFonts w:ascii="Times New Roman" w:cs="Times New Roman" w:eastAsia="Times New Roman" w:hAnsi="Times New Roman"/>
                <w:sz w:val="18"/>
                <w:szCs w:val="18"/>
                <w:color w:val="auto"/>
              </w:rPr>
              <w:t>72</w:t>
            </w:r>
          </w:p>
        </w:tc>
      </w:tr>
      <w:tr>
        <w:trPr>
          <w:trHeight w:val="248"/>
        </w:trPr>
        <w:tc>
          <w:tcPr>
            <w:tcW w:w="63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Ending balance, June 30, 2025</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(74,907)</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(75,234)</w:t>
            </w:r>
          </w:p>
        </w:tc>
      </w:tr>
      <w:tr>
        <w:trPr>
          <w:trHeight w:val="20"/>
        </w:trPr>
        <w:tc>
          <w:tcPr>
            <w:tcW w:w="6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r>
        <w:trPr>
          <w:trHeight w:val="554"/>
        </w:trPr>
        <w:tc>
          <w:tcPr>
            <w:tcW w:w="6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620" w:type="dxa"/>
            <w:vAlign w:val="bottom"/>
            <w:tcBorders>
              <w:bottom w:val="single" w:sz="8" w:color="auto"/>
            </w:tcBorders>
            <w:gridSpan w:val="6"/>
          </w:tcPr>
          <w:p>
            <w:pPr>
              <w:jc w:val="center"/>
              <w:ind w:left="870"/>
              <w:spacing w:after="0"/>
              <w:rPr>
                <w:sz w:val="20"/>
                <w:szCs w:val="20"/>
                <w:color w:val="auto"/>
              </w:rPr>
            </w:pPr>
            <w:r>
              <w:rPr>
                <w:rFonts w:ascii="Times New Roman" w:cs="Times New Roman" w:eastAsia="Times New Roman" w:hAnsi="Times New Roman"/>
                <w:sz w:val="18"/>
                <w:szCs w:val="18"/>
                <w:color w:val="auto"/>
                <w:w w:val="99"/>
              </w:rPr>
              <w:t>Six Months Ended June 30, 2024</w:t>
            </w:r>
          </w:p>
        </w:tc>
        <w:tc>
          <w:tcPr>
            <w:tcW w:w="1120" w:type="dxa"/>
            <w:vAlign w:val="bottom"/>
            <w:tcBorders>
              <w:bottom w:val="single" w:sz="8" w:color="auto"/>
            </w:tcBorders>
          </w:tcPr>
          <w:p>
            <w:pPr>
              <w:spacing w:after="0"/>
              <w:rPr>
                <w:sz w:val="24"/>
                <w:szCs w:val="24"/>
                <w:color w:val="auto"/>
              </w:rPr>
            </w:pPr>
          </w:p>
        </w:tc>
      </w:tr>
      <w:tr>
        <w:trPr>
          <w:trHeight w:val="178"/>
        </w:trPr>
        <w:tc>
          <w:tcPr>
            <w:tcW w:w="6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20" w:type="dxa"/>
            <w:vAlign w:val="bottom"/>
            <w:gridSpan w:val="2"/>
          </w:tcPr>
          <w:p>
            <w:pPr>
              <w:jc w:val="center"/>
              <w:ind w:right="280"/>
              <w:spacing w:after="0" w:line="177" w:lineRule="exact"/>
              <w:rPr>
                <w:sz w:val="20"/>
                <w:szCs w:val="20"/>
                <w:color w:val="auto"/>
              </w:rPr>
            </w:pPr>
            <w:r>
              <w:rPr>
                <w:rFonts w:ascii="Times New Roman" w:cs="Times New Roman" w:eastAsia="Times New Roman" w:hAnsi="Times New Roman"/>
                <w:sz w:val="18"/>
                <w:szCs w:val="18"/>
                <w:color w:val="auto"/>
              </w:rPr>
              <w:t>Defined Benefit</w:t>
            </w:r>
          </w:p>
        </w:tc>
        <w:tc>
          <w:tcPr>
            <w:tcW w:w="3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234"/>
        </w:trPr>
        <w:tc>
          <w:tcPr>
            <w:tcW w:w="6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160" w:type="dxa"/>
            <w:vAlign w:val="bottom"/>
          </w:tcPr>
          <w:p>
            <w:pPr>
              <w:spacing w:after="0"/>
              <w:rPr>
                <w:sz w:val="20"/>
                <w:szCs w:val="20"/>
                <w:color w:val="auto"/>
              </w:rPr>
            </w:pPr>
          </w:p>
        </w:tc>
        <w:tc>
          <w:tcPr>
            <w:tcW w:w="152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8"/>
              </w:rPr>
              <w:t>Pension Items</w:t>
            </w:r>
          </w:p>
        </w:tc>
        <w:tc>
          <w:tcPr>
            <w:tcW w:w="340" w:type="dxa"/>
            <w:vAlign w:val="bottom"/>
          </w:tcPr>
          <w:p>
            <w:pPr>
              <w:spacing w:after="0"/>
              <w:rPr>
                <w:sz w:val="20"/>
                <w:szCs w:val="20"/>
                <w:color w:val="auto"/>
              </w:rPr>
            </w:pPr>
          </w:p>
        </w:tc>
        <w:tc>
          <w:tcPr>
            <w:tcW w:w="132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color w:val="auto"/>
              </w:rPr>
              <w:t>Other</w:t>
            </w:r>
          </w:p>
        </w:tc>
        <w:tc>
          <w:tcPr>
            <w:tcW w:w="440" w:type="dxa"/>
            <w:vAlign w:val="bottom"/>
          </w:tcPr>
          <w:p>
            <w:pPr>
              <w:spacing w:after="0"/>
              <w:rPr>
                <w:sz w:val="20"/>
                <w:szCs w:val="20"/>
                <w:color w:val="auto"/>
              </w:rPr>
            </w:pPr>
          </w:p>
        </w:tc>
        <w:tc>
          <w:tcPr>
            <w:tcW w:w="11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Total</w:t>
            </w:r>
          </w:p>
        </w:tc>
      </w:tr>
      <w:tr>
        <w:trPr>
          <w:trHeight w:val="34"/>
        </w:trPr>
        <w:tc>
          <w:tcPr>
            <w:tcW w:w="624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140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top w:val="single" w:sz="8" w:color="auto"/>
            </w:tcBorders>
          </w:tcPr>
          <w:p>
            <w:pPr>
              <w:spacing w:after="0"/>
              <w:rPr>
                <w:sz w:val="2"/>
                <w:szCs w:val="2"/>
                <w:color w:val="auto"/>
              </w:rPr>
            </w:pPr>
          </w:p>
        </w:tc>
        <w:tc>
          <w:tcPr>
            <w:tcW w:w="120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Borders>
              <w:top w:val="single" w:sz="8" w:color="auto"/>
            </w:tcBorders>
          </w:tcPr>
          <w:p>
            <w:pPr>
              <w:spacing w:after="0"/>
              <w:rPr>
                <w:sz w:val="2"/>
                <w:szCs w:val="2"/>
                <w:color w:val="auto"/>
              </w:rPr>
            </w:pPr>
          </w:p>
        </w:tc>
        <w:tc>
          <w:tcPr>
            <w:tcW w:w="1120" w:type="dxa"/>
            <w:vAlign w:val="bottom"/>
            <w:tcBorders>
              <w:top w:val="single" w:sz="8" w:color="auto"/>
            </w:tcBorders>
          </w:tcPr>
          <w:p>
            <w:pPr>
              <w:spacing w:after="0"/>
              <w:rPr>
                <w:sz w:val="2"/>
                <w:szCs w:val="2"/>
                <w:color w:val="auto"/>
              </w:rPr>
            </w:pPr>
          </w:p>
        </w:tc>
      </w:tr>
      <w:tr>
        <w:trPr>
          <w:trHeight w:val="230"/>
        </w:trPr>
        <w:tc>
          <w:tcPr>
            <w:tcW w:w="6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balance, December 31, 2023</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(75,247)</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(75,510)</w:t>
            </w:r>
          </w:p>
        </w:tc>
      </w:tr>
      <w:tr>
        <w:trPr>
          <w:trHeight w:val="223"/>
        </w:trPr>
        <w:tc>
          <w:tcPr>
            <w:tcW w:w="6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 before reclassifications</w:t>
            </w:r>
          </w:p>
        </w:tc>
        <w:tc>
          <w:tcPr>
            <w:tcW w:w="160" w:type="dxa"/>
            <w:vAlign w:val="bottom"/>
          </w:tcPr>
          <w:p>
            <w:pPr>
              <w:spacing w:after="0"/>
              <w:rPr>
                <w:sz w:val="19"/>
                <w:szCs w:val="19"/>
                <w:color w:val="auto"/>
              </w:rPr>
            </w:pPr>
          </w:p>
        </w:tc>
        <w:tc>
          <w:tcPr>
            <w:tcW w:w="1400" w:type="dxa"/>
            <w:vAlign w:val="bottom"/>
          </w:tcPr>
          <w:p>
            <w:pPr>
              <w:ind w:left="1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2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34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Amounts reclassified from AOCI, net of tax of $22</w:t>
            </w:r>
            <w:r>
              <w:rPr>
                <w:rFonts w:ascii="Times New Roman" w:cs="Times New Roman" w:eastAsia="Times New Roman" w:hAnsi="Times New Roman"/>
                <w:sz w:val="23"/>
                <w:szCs w:val="23"/>
                <w:color w:val="auto"/>
                <w:vertAlign w:val="superscript"/>
              </w:rPr>
              <w:t>(a)</w:t>
            </w:r>
          </w:p>
        </w:tc>
        <w:tc>
          <w:tcPr>
            <w:tcW w:w="1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ind w:left="1160"/>
              <w:spacing w:after="0"/>
              <w:rPr>
                <w:sz w:val="20"/>
                <w:szCs w:val="20"/>
                <w:color w:val="auto"/>
              </w:rPr>
            </w:pPr>
            <w:r>
              <w:rPr>
                <w:rFonts w:ascii="Times New Roman" w:cs="Times New Roman" w:eastAsia="Times New Roman" w:hAnsi="Times New Roman"/>
                <w:sz w:val="18"/>
                <w:szCs w:val="18"/>
                <w:color w:val="auto"/>
              </w:rPr>
              <w:t>58</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68</w:t>
            </w:r>
          </w:p>
        </w:tc>
      </w:tr>
      <w:tr>
        <w:trPr>
          <w:trHeight w:val="223"/>
        </w:trPr>
        <w:tc>
          <w:tcPr>
            <w:tcW w:w="63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Net current-period other comprehensive income (loss)</w:t>
            </w: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ind w:left="1160"/>
              <w:spacing w:after="0"/>
              <w:rPr>
                <w:sz w:val="20"/>
                <w:szCs w:val="20"/>
                <w:color w:val="auto"/>
              </w:rPr>
            </w:pPr>
            <w:r>
              <w:rPr>
                <w:rFonts w:ascii="Times New Roman" w:cs="Times New Roman" w:eastAsia="Times New Roman" w:hAnsi="Times New Roman"/>
                <w:sz w:val="18"/>
                <w:szCs w:val="18"/>
                <w:color w:val="auto"/>
              </w:rPr>
              <w:t>58</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ind w:left="860"/>
              <w:spacing w:after="0"/>
              <w:rPr>
                <w:sz w:val="20"/>
                <w:szCs w:val="20"/>
                <w:color w:val="auto"/>
              </w:rPr>
            </w:pPr>
            <w:r>
              <w:rPr>
                <w:rFonts w:ascii="Times New Roman" w:cs="Times New Roman" w:eastAsia="Times New Roman" w:hAnsi="Times New Roman"/>
                <w:sz w:val="18"/>
                <w:szCs w:val="18"/>
                <w:color w:val="auto"/>
              </w:rPr>
              <w:t>68</w:t>
            </w:r>
          </w:p>
        </w:tc>
      </w:tr>
      <w:tr>
        <w:trPr>
          <w:trHeight w:val="248"/>
        </w:trPr>
        <w:tc>
          <w:tcPr>
            <w:tcW w:w="63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Ending balance, June 30, 2024</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(75,189)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(75,442)</w:t>
            </w:r>
          </w:p>
        </w:tc>
      </w:tr>
      <w:tr>
        <w:trPr>
          <w:trHeight w:val="20"/>
        </w:trPr>
        <w:tc>
          <w:tcPr>
            <w:tcW w:w="6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46" w:lineRule="exact"/>
        <w:rPr>
          <w:sz w:val="20"/>
          <w:szCs w:val="20"/>
          <w:color w:val="auto"/>
        </w:rPr>
      </w:pPr>
    </w:p>
    <w:p>
      <w:pPr>
        <w:ind w:left="180" w:hanging="172"/>
        <w:spacing w:after="0"/>
        <w:tabs>
          <w:tab w:leader="none" w:pos="180" w:val="left"/>
        </w:tabs>
        <w:numPr>
          <w:ilvl w:val="0"/>
          <w:numId w:val="1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Actuarial gain (loss) is included in defined benefit pension plan expense in the Condensed Consolidated Statements of Operations</w:t>
      </w:r>
    </w:p>
    <w:p>
      <w:pPr>
        <w:spacing w:after="0" w:line="200" w:lineRule="exact"/>
        <w:rPr>
          <w:rFonts w:ascii="Times New Roman" w:cs="Times New Roman" w:eastAsia="Times New Roman" w:hAnsi="Times New Roman"/>
          <w:sz w:val="23"/>
          <w:szCs w:val="23"/>
          <w:color w:val="auto"/>
          <w:vertAlign w:val="superscript"/>
        </w:rPr>
      </w:pPr>
    </w:p>
    <w:p>
      <w:pPr>
        <w:spacing w:after="0" w:line="200" w:lineRule="exact"/>
        <w:rPr>
          <w:rFonts w:ascii="Times New Roman" w:cs="Times New Roman" w:eastAsia="Times New Roman" w:hAnsi="Times New Roman"/>
          <w:sz w:val="23"/>
          <w:szCs w:val="23"/>
          <w:color w:val="auto"/>
          <w:vertAlign w:val="superscript"/>
        </w:rPr>
      </w:pPr>
    </w:p>
    <w:p>
      <w:pPr>
        <w:spacing w:after="0" w:line="378" w:lineRule="exact"/>
        <w:rPr>
          <w:rFonts w:ascii="Times New Roman" w:cs="Times New Roman" w:eastAsia="Times New Roman" w:hAnsi="Times New Roman"/>
          <w:sz w:val="23"/>
          <w:szCs w:val="23"/>
          <w:color w:val="auto"/>
          <w:vertAlign w:val="superscript"/>
        </w:rPr>
      </w:pPr>
    </w:p>
    <w:p>
      <w:pPr>
        <w:ind w:left="5460"/>
        <w:spacing w:after="0"/>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6"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w:t>
      </w:r>
    </w:p>
    <w:p>
      <w:pPr>
        <w:spacing w:after="0" w:line="256" w:lineRule="exact"/>
        <w:rPr>
          <w:sz w:val="20"/>
          <w:szCs w:val="20"/>
          <w:color w:val="auto"/>
        </w:rPr>
      </w:pPr>
    </w:p>
    <w:p>
      <w:pPr>
        <w:ind w:right="140" w:firstLine="405"/>
        <w:spacing w:after="0" w:line="282" w:lineRule="auto"/>
        <w:rPr>
          <w:sz w:val="20"/>
          <w:szCs w:val="20"/>
          <w:color w:val="auto"/>
        </w:rPr>
      </w:pPr>
      <w:r>
        <w:rPr>
          <w:rFonts w:ascii="Times New Roman" w:cs="Times New Roman" w:eastAsia="Times New Roman" w:hAnsi="Times New Roman"/>
          <w:sz w:val="18"/>
          <w:szCs w:val="18"/>
          <w:color w:val="auto"/>
        </w:rPr>
        <w:t>This discussion and analysis of financial condition and results of operations is based upon the Condensed Consolidated Financial Statements and the Notes to Condensed Consolidated Financial Statements. You should read this discussion in conjunction with those financial statements.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56" w:lineRule="exact"/>
        <w:rPr>
          <w:sz w:val="20"/>
          <w:szCs w:val="20"/>
          <w:color w:val="auto"/>
        </w:rPr>
      </w:pPr>
    </w:p>
    <w:p>
      <w:pPr>
        <w:ind w:firstLine="405"/>
        <w:spacing w:after="0" w:line="253" w:lineRule="auto"/>
        <w:rPr>
          <w:sz w:val="20"/>
          <w:szCs w:val="20"/>
          <w:color w:val="auto"/>
        </w:rPr>
      </w:pPr>
      <w:r>
        <w:rPr>
          <w:rFonts w:ascii="Times New Roman" w:cs="Times New Roman" w:eastAsia="Times New Roman" w:hAnsi="Times New Roman"/>
          <w:sz w:val="18"/>
          <w:szCs w:val="18"/>
          <w:color w:val="auto"/>
        </w:rPr>
        <w:t>This document contains forward-looking statements within the meaning of the safe harbor provisions of the U.S. Private Securities Litigation Reform Act of 1995. Forward-looking statements can be identified by words such as: "believe," "anticipate," "intend," "expect," "estimate," "could," "should," "outlook," "guidance," and similar references to future periods. Examples of forward-looking statements include, among others, statements the Company makes regarding expected operating results and future financial condition. Forward-looking statements are neither historical facts nor assurances of future performance. Instead, they are based only on management’s current beliefs, expectations, and assumptions regarding the future of the industry and the economy, the Company’s plans and strategies, anticipated events and trends, and other future conditions. Because forward-looking statements relate to the future, they are subject to inherent risks, uncertainties, and changes in circumstance that are difficult to predict and many of which are outside of the Company’s control. A detailed discussion of such risks and uncertainties is included in the section of this document titled "Risk Factors." The Company’s actual results and financial condition may differ materially from those indicated in the forward-looking statements. Therefore, you should not rely on any of these forward-looking statements. Any forward-looking statement made in this document is based only on currently available information and speaks only as of the date on which it is made. The Company undertakes no obligation to publicly update any forward-looking statement, whether written or oral, that may be made from time to time, whether as a result of new information, future developments, or otherwise.</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Overview</w:t>
      </w:r>
    </w:p>
    <w:p>
      <w:pPr>
        <w:spacing w:after="0" w:line="256" w:lineRule="exact"/>
        <w:rPr>
          <w:sz w:val="20"/>
          <w:szCs w:val="20"/>
          <w:color w:val="auto"/>
        </w:rPr>
      </w:pPr>
    </w:p>
    <w:p>
      <w:pPr>
        <w:ind w:right="60" w:firstLine="405"/>
        <w:spacing w:after="0" w:line="256" w:lineRule="auto"/>
        <w:rPr>
          <w:sz w:val="20"/>
          <w:szCs w:val="20"/>
          <w:color w:val="auto"/>
        </w:rPr>
      </w:pPr>
      <w:r>
        <w:rPr>
          <w:rFonts w:ascii="Times New Roman" w:cs="Times New Roman" w:eastAsia="Times New Roman" w:hAnsi="Times New Roman"/>
          <w:sz w:val="18"/>
          <w:szCs w:val="18"/>
          <w:color w:val="auto"/>
        </w:rPr>
        <w:t>The E.W. Scripps Company (“Scripps”) is a diverse media enterprise that serves audiences and businesses through a portfolio of more than 60 local television stations in more than 40 markets and national news and entertainment networks. Our local stations have programming agreements with ABC, NBC, CBS and FOX. The Scripps Networks reach nearly every American through national news outlets Scripps News and Court TV and popular entertainment brands ION, Bounce, Grit, ION Mystery, ION Plus and Laff. We also serve as the longtime steward of one of the nation's largest, most successful and longest-running educational programs, the Scripps National Spelling Bee. Additionally, we provide a television viewing device called Tablo that allows households to watch and record dozens of free, over-the-air and streaming channels anywhere in their home without a subscription.</w:t>
      </w:r>
    </w:p>
    <w:p>
      <w:pPr>
        <w:spacing w:after="0" w:line="214" w:lineRule="exact"/>
        <w:rPr>
          <w:sz w:val="20"/>
          <w:szCs w:val="20"/>
          <w:color w:val="auto"/>
        </w:rPr>
      </w:pPr>
    </w:p>
    <w:p>
      <w:pPr>
        <w:ind w:firstLine="405"/>
        <w:spacing w:after="0" w:line="255" w:lineRule="auto"/>
        <w:rPr>
          <w:sz w:val="20"/>
          <w:szCs w:val="20"/>
          <w:color w:val="auto"/>
        </w:rPr>
      </w:pPr>
      <w:r>
        <w:rPr>
          <w:rFonts w:ascii="Times New Roman" w:cs="Times New Roman" w:eastAsia="Times New Roman" w:hAnsi="Times New Roman"/>
          <w:sz w:val="18"/>
          <w:szCs w:val="18"/>
          <w:color w:val="auto"/>
        </w:rPr>
        <w:t>Scripps is a leader in free, ad-supported television. All of our local stations and national entertainment networks reach consumers over the air, and all of our television brands can also be found on free streaming platforms. We have continued to expand in the fast-growing connected television marketplace, and we are leveraging our leadership position in the growing over-the-air marketplace. Currently, one in five non pay-TV homes is watching television over the air alongside their streaming subscription services, and as cord-cutting and streaming service price increases continue, over-the-air channels will be an important part of television viewers' choices. To that end, Scripps continues efforts to broaden antenna use even more, and is working with key partners in retail, manufacturing and antenna installation to help television owners understand the quality and quantity of programming available over the air and the ease of antenna use.</w:t>
      </w:r>
    </w:p>
    <w:p>
      <w:pPr>
        <w:spacing w:after="0" w:line="216" w:lineRule="exact"/>
        <w:rPr>
          <w:sz w:val="20"/>
          <w:szCs w:val="20"/>
          <w:color w:val="auto"/>
        </w:rPr>
      </w:pPr>
    </w:p>
    <w:p>
      <w:pPr>
        <w:ind w:firstLine="405"/>
        <w:spacing w:after="0" w:line="256" w:lineRule="auto"/>
        <w:rPr>
          <w:sz w:val="20"/>
          <w:szCs w:val="20"/>
          <w:color w:val="auto"/>
        </w:rPr>
      </w:pPr>
      <w:r>
        <w:rPr>
          <w:rFonts w:ascii="Times New Roman" w:cs="Times New Roman" w:eastAsia="Times New Roman" w:hAnsi="Times New Roman"/>
          <w:sz w:val="18"/>
          <w:szCs w:val="18"/>
          <w:color w:val="auto"/>
        </w:rPr>
        <w:t>In January 2025, we announced the formation of a joint venture with Gray Media, Nexstar Media Group, Inc. and Sinclair, Inc. Leveraging broadcasters' uniquely efficient network architecture and the ATSC 3.0 transmission standard, EdgeBeam Wireless, LLC will provide expansive, reliable and secure data delivery services. This partnership creates a spectrum footprint that no individual broadcaster could achieve on its own, unlocking the potential of ATSC 3.0 to offer nationwide coverage for data delivery to billions of potential devices on market-disrupting terms. We have committed to total cash contributions of $12.8 million for our 25% ownership interest in the joint venture. During the first quarter of 2025, we made a cash contribution of $6.4 million, with the remaining due by the end of the year.</w:t>
      </w:r>
    </w:p>
    <w:p>
      <w:pPr>
        <w:spacing w:after="0" w:line="214" w:lineRule="exact"/>
        <w:rPr>
          <w:sz w:val="20"/>
          <w:szCs w:val="20"/>
          <w:color w:val="auto"/>
        </w:rPr>
      </w:pPr>
    </w:p>
    <w:p>
      <w:pPr>
        <w:ind w:right="80" w:firstLine="405"/>
        <w:spacing w:after="0" w:line="261" w:lineRule="auto"/>
        <w:rPr>
          <w:sz w:val="20"/>
          <w:szCs w:val="20"/>
          <w:color w:val="auto"/>
        </w:rPr>
      </w:pPr>
      <w:r>
        <w:rPr>
          <w:rFonts w:ascii="Times New Roman" w:cs="Times New Roman" w:eastAsia="Times New Roman" w:hAnsi="Times New Roman"/>
          <w:sz w:val="18"/>
          <w:szCs w:val="18"/>
          <w:color w:val="auto"/>
        </w:rPr>
        <w:t>On March 13, 2025, we announced a multi-year agreement with the Las Vegas Aces, which began in May 2025. Under the agreement, we televise all non-nationally exclusive Aces games with distribution on cable, satellite and over-the-air television. In addition to game broadcasts, the Aces and our local station Vegas 34 partnered to produce and air "In the Paint," an award-winning weekly 30-minute show featuring highlights, interviews and behind-the-scenes access to the 2025 Las Vegas Aces.</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31" w:name="page32"/>
    <w:bookmarkEnd w:id="31"/>
    <w:p>
      <w:pPr>
        <w:ind w:firstLine="405"/>
        <w:spacing w:after="0" w:line="255" w:lineRule="auto"/>
        <w:rPr>
          <w:sz w:val="20"/>
          <w:szCs w:val="20"/>
          <w:color w:val="auto"/>
        </w:rPr>
      </w:pPr>
      <w:r>
        <w:rPr>
          <w:rFonts w:ascii="Times New Roman" w:cs="Times New Roman" w:eastAsia="Times New Roman" w:hAnsi="Times New Roman"/>
          <w:sz w:val="18"/>
          <w:szCs w:val="18"/>
          <w:color w:val="auto"/>
        </w:rPr>
        <w:t>On April 10, 2025, we completed a series of previously announced refinancing transactions. Following the completion of the transactions, no amounts remain outstanding for our prior 2026 term loan, our prior 2028 term loan or our prior revolving credit facility. Additionally, we issued a $545 million tranche B-2 term loan that matures in June 2028 and a $340 million tranche B-3 term loan that matures in November 2029. We also replaced the prior revolving credit facility with a new $208 million revolving credit facility, maturing on July 7, 2027, and a $70.0 million non-extended revolving credit facility, maturing on January 7, 2026. Finally, we also entered into a new three-year accounts receivable securitization facility with aggregate commitments of up to $450 million that is scheduled to terminate on April 10, 2028. Additional information about the refinancing transactions is presented in Note 7. Long-Term Debt.</w:t>
      </w:r>
    </w:p>
    <w:p>
      <w:pPr>
        <w:spacing w:after="0" w:line="216" w:lineRule="exact"/>
        <w:rPr>
          <w:sz w:val="20"/>
          <w:szCs w:val="20"/>
          <w:color w:val="auto"/>
        </w:rPr>
      </w:pPr>
    </w:p>
    <w:p>
      <w:pPr>
        <w:jc w:val="both"/>
        <w:ind w:right="320" w:firstLine="405"/>
        <w:spacing w:after="0" w:line="266" w:lineRule="auto"/>
        <w:rPr>
          <w:sz w:val="20"/>
          <w:szCs w:val="20"/>
          <w:color w:val="auto"/>
        </w:rPr>
      </w:pPr>
      <w:r>
        <w:rPr>
          <w:rFonts w:ascii="Times New Roman" w:cs="Times New Roman" w:eastAsia="Times New Roman" w:hAnsi="Times New Roman"/>
          <w:sz w:val="18"/>
          <w:szCs w:val="18"/>
          <w:color w:val="auto"/>
        </w:rPr>
        <w:t>On May 14, 2025, we announced a multi-year media rights agreement which allows us to produce and distribute all preseason, regular season and first-round playoff Tampa Bay Lightning games that are not allocated exclusively to national broadcasts. This agreement will begin with the 2025-2026 National Hockey League season, which will start with the preseason in late September 2025.</w:t>
      </w:r>
    </w:p>
    <w:p>
      <w:pPr>
        <w:spacing w:after="0" w:line="203" w:lineRule="exact"/>
        <w:rPr>
          <w:sz w:val="20"/>
          <w:szCs w:val="20"/>
          <w:color w:val="auto"/>
        </w:rPr>
      </w:pPr>
    </w:p>
    <w:p>
      <w:pPr>
        <w:ind w:right="480" w:firstLine="405"/>
        <w:spacing w:after="0" w:line="282" w:lineRule="auto"/>
        <w:rPr>
          <w:sz w:val="20"/>
          <w:szCs w:val="20"/>
          <w:color w:val="auto"/>
        </w:rPr>
      </w:pPr>
      <w:r>
        <w:rPr>
          <w:rFonts w:ascii="Times New Roman" w:cs="Times New Roman" w:eastAsia="Times New Roman" w:hAnsi="Times New Roman"/>
          <w:sz w:val="18"/>
          <w:szCs w:val="18"/>
          <w:color w:val="auto"/>
        </w:rPr>
        <w:t>On June 13, 2025, we announced a new, multi-year agreement with the Women's National Basketball Association ("WNBA") to continue airing regular season Friday night matchups on ION as part of its WNBA Fright Night Spotlight series.</w:t>
      </w:r>
    </w:p>
    <w:p>
      <w:pPr>
        <w:spacing w:after="0" w:line="189" w:lineRule="exact"/>
        <w:rPr>
          <w:sz w:val="20"/>
          <w:szCs w:val="20"/>
          <w:color w:val="auto"/>
        </w:rPr>
      </w:pPr>
    </w:p>
    <w:p>
      <w:pPr>
        <w:ind w:right="60" w:firstLine="405"/>
        <w:spacing w:after="0" w:line="258" w:lineRule="auto"/>
        <w:rPr>
          <w:sz w:val="20"/>
          <w:szCs w:val="20"/>
          <w:color w:val="auto"/>
        </w:rPr>
      </w:pPr>
      <w:r>
        <w:rPr>
          <w:rFonts w:ascii="Times New Roman" w:cs="Times New Roman" w:eastAsia="Times New Roman" w:hAnsi="Times New Roman"/>
          <w:sz w:val="18"/>
          <w:szCs w:val="18"/>
          <w:color w:val="auto"/>
        </w:rPr>
        <w:t>On July 7, 2025, we entered into agreements with Gray Media, Inc. (“Gray”), to swap television stations across five markets. Upon completion of the transactions, we will acquire Gray’s KKTV (CBS) in Colorado Springs, Colorado; KKCO (NBC) and low power station KJCT-LP (ABC) in Grand Junction, Colorado; and KMVT (CBS) and low power station KSVT-LD (Fox) in Twin Falls, Idaho. Gray will be acquiring WSYM (Fox) in Lansing, Michigan, and KATC (ABC) in Lafayette, Louisiana. The swap involves the even exchange of comparable assets. As a result, neither company will pay cash consideration to the other. The transaction, pending regulatory and other approvals, is expected to close in the fourth quarter of 2025.</w:t>
      </w:r>
    </w:p>
    <w:p>
      <w:pPr>
        <w:spacing w:after="0" w:line="210" w:lineRule="exact"/>
        <w:rPr>
          <w:sz w:val="20"/>
          <w:szCs w:val="20"/>
          <w:color w:val="auto"/>
        </w:rPr>
      </w:pPr>
    </w:p>
    <w:p>
      <w:pPr>
        <w:ind w:right="80" w:firstLine="405"/>
        <w:spacing w:after="0" w:line="258" w:lineRule="auto"/>
        <w:rPr>
          <w:sz w:val="20"/>
          <w:szCs w:val="20"/>
          <w:color w:val="auto"/>
        </w:rPr>
      </w:pPr>
      <w:r>
        <w:rPr>
          <w:rFonts w:ascii="Times New Roman" w:cs="Times New Roman" w:eastAsia="Times New Roman" w:hAnsi="Times New Roman"/>
          <w:sz w:val="18"/>
          <w:szCs w:val="18"/>
          <w:color w:val="auto"/>
        </w:rPr>
        <w:t>On August 6, 2025, we issued $750 million of senior secured second lien notes (the "2030 Senior Notes"), which bear interest at a rate of 9.875% per annum and mature on August 15, 2030. The 2030 Senior Notes were priced at 99.509% of par value and interest is payable semi-annually on August 15 and February 15. The proceeds from the 2030 Senior Notes were used to repay the remaining $426 million principal amount of the 2027 Senior Notes, provide a $205 million principal prepayment toward the June 2028 term loan, pay $89.7 million toward outstanding borrowings under our revolving credit facilities and pay related issuance costs and prepayment premiums related to the transaction.</w:t>
      </w:r>
    </w:p>
    <w:p>
      <w:pPr>
        <w:spacing w:after="0" w:line="210" w:lineRule="exact"/>
        <w:rPr>
          <w:sz w:val="20"/>
          <w:szCs w:val="20"/>
          <w:color w:val="auto"/>
        </w:rPr>
      </w:pPr>
    </w:p>
    <w:p>
      <w:pPr>
        <w:ind w:right="80" w:firstLine="405"/>
        <w:spacing w:after="0" w:line="258" w:lineRule="auto"/>
        <w:rPr>
          <w:sz w:val="20"/>
          <w:szCs w:val="20"/>
          <w:color w:val="auto"/>
        </w:rPr>
      </w:pPr>
      <w:r>
        <w:rPr>
          <w:rFonts w:ascii="Times New Roman" w:cs="Times New Roman" w:eastAsia="Times New Roman" w:hAnsi="Times New Roman"/>
          <w:sz w:val="18"/>
          <w:szCs w:val="18"/>
          <w:color w:val="auto"/>
        </w:rPr>
        <w:t>We did not declare or provide payment for the preferred stock dividend in either quarter of 2025 or any of the 2024 quarters. The 9% per annum dividend rate on the preferred shares, which compounds quarterly, will be incurred at that rate for the remaining periods that the preferred shares are outstanding. At June 30, 2025, aggregated undeclared and unpaid cumulative dividends totaled $85.7 million and the redemption value of the preferred stock totaled $718 million. Under the terms of the preferred shares, we are prohibited from paying dividends on and repurchasing our common shares until all preferred shares are redeemed.</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89" w:lineRule="exact"/>
        <w:rPr>
          <w:sz w:val="20"/>
          <w:szCs w:val="20"/>
          <w:color w:val="auto"/>
        </w:rPr>
      </w:pPr>
    </w:p>
    <w:p>
      <w:pPr>
        <w:ind w:right="240" w:firstLine="405"/>
        <w:spacing w:after="0" w:line="266" w:lineRule="auto"/>
        <w:rPr>
          <w:sz w:val="20"/>
          <w:szCs w:val="20"/>
          <w:color w:val="auto"/>
        </w:rPr>
      </w:pPr>
      <w:r>
        <w:rPr>
          <w:rFonts w:ascii="Times New Roman" w:cs="Times New Roman" w:eastAsia="Times New Roman" w:hAnsi="Times New Roman"/>
          <w:sz w:val="18"/>
          <w:szCs w:val="18"/>
          <w:color w:val="auto"/>
        </w:rPr>
        <w:t>The trends and underlying economic conditions affecting the operating performance and future prospects differ for each of our operating segments. Accordingly, you should read the following discussion of our consolidated results of operations in conjunction with the discussion of the operating performance of our operating segments that follows.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3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Consolidated Results of Operations</w:t>
            </w: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392"/>
        </w:trPr>
        <w:tc>
          <w:tcPr>
            <w:tcW w:w="438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Consolidated results of operations were as follows:</w:t>
            </w: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97"/>
        </w:trPr>
        <w:tc>
          <w:tcPr>
            <w:tcW w:w="4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80" w:type="dxa"/>
            <w:vAlign w:val="bottom"/>
            <w:gridSpan w:val="5"/>
          </w:tcPr>
          <w:p>
            <w:pPr>
              <w:jc w:val="right"/>
              <w:ind w:right="10"/>
              <w:spacing w:after="0"/>
              <w:rPr>
                <w:sz w:val="20"/>
                <w:szCs w:val="20"/>
                <w:color w:val="auto"/>
              </w:rPr>
            </w:pPr>
            <w:r>
              <w:rPr>
                <w:rFonts w:ascii="Times New Roman" w:cs="Times New Roman" w:eastAsia="Times New Roman" w:hAnsi="Times New Roman"/>
                <w:sz w:val="18"/>
                <w:szCs w:val="18"/>
                <w:color w:val="auto"/>
              </w:rPr>
              <w:t>Three Months Ended</w:t>
            </w: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160" w:type="dxa"/>
            <w:vAlign w:val="bottom"/>
            <w:gridSpan w:val="5"/>
          </w:tcPr>
          <w:p>
            <w:pPr>
              <w:ind w:left="820"/>
              <w:spacing w:after="0"/>
              <w:rPr>
                <w:sz w:val="20"/>
                <w:szCs w:val="20"/>
                <w:color w:val="auto"/>
              </w:rPr>
            </w:pPr>
            <w:r>
              <w:rPr>
                <w:rFonts w:ascii="Times New Roman" w:cs="Times New Roman" w:eastAsia="Times New Roman" w:hAnsi="Times New Roman"/>
                <w:sz w:val="18"/>
                <w:szCs w:val="18"/>
                <w:color w:val="auto"/>
                <w:w w:val="98"/>
              </w:rPr>
              <w:t>Six Months Ended</w:t>
            </w: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37"/>
        </w:trPr>
        <w:tc>
          <w:tcPr>
            <w:tcW w:w="4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3"/>
          </w:tcPr>
          <w:p>
            <w:pPr>
              <w:jc w:val="right"/>
              <w:ind w:right="450"/>
              <w:spacing w:after="0"/>
              <w:rPr>
                <w:sz w:val="20"/>
                <w:szCs w:val="20"/>
                <w:color w:val="auto"/>
              </w:rPr>
            </w:pPr>
            <w:r>
              <w:rPr>
                <w:rFonts w:ascii="Times New Roman" w:cs="Times New Roman" w:eastAsia="Times New Roman" w:hAnsi="Times New Roman"/>
                <w:sz w:val="18"/>
                <w:szCs w:val="18"/>
                <w:color w:val="auto"/>
              </w:rPr>
              <w:t>June 30,</w:t>
            </w:r>
          </w:p>
        </w:tc>
        <w:tc>
          <w:tcPr>
            <w:tcW w:w="8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gridSpan w:val="3"/>
          </w:tcPr>
          <w:p>
            <w:pPr>
              <w:jc w:val="center"/>
              <w:ind w:right="160"/>
              <w:spacing w:after="0"/>
              <w:rPr>
                <w:sz w:val="20"/>
                <w:szCs w:val="20"/>
                <w:color w:val="auto"/>
              </w:rPr>
            </w:pPr>
            <w:r>
              <w:rPr>
                <w:rFonts w:ascii="Times New Roman" w:cs="Times New Roman" w:eastAsia="Times New Roman" w:hAnsi="Times New Roman"/>
                <w:sz w:val="18"/>
                <w:szCs w:val="18"/>
                <w:color w:val="auto"/>
                <w:w w:val="99"/>
              </w:rPr>
              <w:t>June 30,</w:t>
            </w:r>
          </w:p>
        </w:tc>
        <w:tc>
          <w:tcPr>
            <w:tcW w:w="1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r>
      <w:tr>
        <w:trPr>
          <w:trHeight w:val="229"/>
        </w:trPr>
        <w:tc>
          <w:tcPr>
            <w:tcW w:w="4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220" w:type="dxa"/>
            <w:vAlign w:val="bottom"/>
          </w:tcPr>
          <w:p>
            <w:pPr>
              <w:spacing w:after="0"/>
              <w:rPr>
                <w:sz w:val="19"/>
                <w:szCs w:val="19"/>
                <w:color w:val="auto"/>
              </w:rPr>
            </w:pPr>
          </w:p>
        </w:tc>
        <w:tc>
          <w:tcPr>
            <w:tcW w:w="8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2025</w:t>
            </w:r>
          </w:p>
        </w:tc>
        <w:tc>
          <w:tcPr>
            <w:tcW w:w="120" w:type="dxa"/>
            <w:vAlign w:val="bottom"/>
          </w:tcPr>
          <w:p>
            <w:pPr>
              <w:spacing w:after="0"/>
              <w:rPr>
                <w:sz w:val="19"/>
                <w:szCs w:val="19"/>
                <w:color w:val="auto"/>
              </w:rPr>
            </w:pPr>
          </w:p>
        </w:tc>
        <w:tc>
          <w:tcPr>
            <w:tcW w:w="1320" w:type="dxa"/>
            <w:vAlign w:val="bottom"/>
            <w:gridSpan w:val="3"/>
          </w:tcPr>
          <w:p>
            <w:pPr>
              <w:jc w:val="right"/>
              <w:ind w:right="490"/>
              <w:spacing w:after="0"/>
              <w:rPr>
                <w:sz w:val="20"/>
                <w:szCs w:val="20"/>
                <w:color w:val="auto"/>
              </w:rPr>
            </w:pPr>
            <w:r>
              <w:rPr>
                <w:rFonts w:ascii="Times New Roman" w:cs="Times New Roman" w:eastAsia="Times New Roman" w:hAnsi="Times New Roman"/>
                <w:sz w:val="18"/>
                <w:szCs w:val="18"/>
                <w:color w:val="auto"/>
              </w:rPr>
              <w:t>Change</w:t>
            </w:r>
          </w:p>
        </w:tc>
        <w:tc>
          <w:tcPr>
            <w:tcW w:w="82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2024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2025</w:t>
            </w:r>
          </w:p>
        </w:tc>
        <w:tc>
          <w:tcPr>
            <w:tcW w:w="120" w:type="dxa"/>
            <w:vAlign w:val="bottom"/>
          </w:tcPr>
          <w:p>
            <w:pPr>
              <w:spacing w:after="0"/>
              <w:rPr>
                <w:sz w:val="19"/>
                <w:szCs w:val="19"/>
                <w:color w:val="auto"/>
              </w:rPr>
            </w:pPr>
          </w:p>
        </w:tc>
        <w:tc>
          <w:tcPr>
            <w:tcW w:w="116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color w:val="auto"/>
                <w:w w:val="98"/>
              </w:rPr>
              <w:t>Change</w:t>
            </w:r>
          </w:p>
        </w:tc>
        <w:tc>
          <w:tcPr>
            <w:tcW w:w="180" w:type="dxa"/>
            <w:vAlign w:val="bottom"/>
          </w:tcPr>
          <w:p>
            <w:pPr>
              <w:spacing w:after="0"/>
              <w:rPr>
                <w:sz w:val="19"/>
                <w:szCs w:val="19"/>
                <w:color w:val="auto"/>
              </w:rPr>
            </w:pPr>
          </w:p>
        </w:tc>
        <w:tc>
          <w:tcPr>
            <w:tcW w:w="8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2024</w:t>
            </w:r>
          </w:p>
        </w:tc>
      </w:tr>
      <w:tr>
        <w:trPr>
          <w:trHeight w:val="34"/>
        </w:trPr>
        <w:tc>
          <w:tcPr>
            <w:tcW w:w="42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84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top w:val="single" w:sz="8" w:color="auto"/>
            </w:tcBorders>
          </w:tcPr>
          <w:p>
            <w:pPr>
              <w:spacing w:after="0"/>
              <w:rPr>
                <w:sz w:val="2"/>
                <w:szCs w:val="2"/>
                <w:color w:val="auto"/>
              </w:rPr>
            </w:pPr>
          </w:p>
        </w:tc>
        <w:tc>
          <w:tcPr>
            <w:tcW w:w="82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88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180" w:type="dxa"/>
            <w:vAlign w:val="bottom"/>
            <w:tcBorders>
              <w:top w:val="single" w:sz="8" w:color="auto"/>
            </w:tcBorders>
          </w:tcPr>
          <w:p>
            <w:pPr>
              <w:spacing w:after="0"/>
              <w:rPr>
                <w:sz w:val="2"/>
                <w:szCs w:val="2"/>
                <w:color w:val="auto"/>
              </w:rPr>
            </w:pPr>
          </w:p>
        </w:tc>
        <w:tc>
          <w:tcPr>
            <w:tcW w:w="880" w:type="dxa"/>
            <w:vAlign w:val="bottom"/>
            <w:tcBorders>
              <w:top w:val="single" w:sz="8" w:color="auto"/>
            </w:tcBorders>
          </w:tcPr>
          <w:p>
            <w:pPr>
              <w:spacing w:after="0"/>
              <w:rPr>
                <w:sz w:val="2"/>
                <w:szCs w:val="2"/>
                <w:color w:val="auto"/>
              </w:rPr>
            </w:pPr>
          </w:p>
        </w:tc>
      </w:tr>
      <w:tr>
        <w:trPr>
          <w:trHeight w:val="229"/>
        </w:trPr>
        <w:tc>
          <w:tcPr>
            <w:tcW w:w="4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revenues</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540,080</w:t>
            </w:r>
          </w:p>
        </w:tc>
        <w:tc>
          <w:tcPr>
            <w:tcW w:w="1440" w:type="dxa"/>
            <w:vAlign w:val="bottom"/>
            <w:gridSpan w:val="4"/>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(5.8)%  $</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573,629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1,064,473</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1,135,093</w:t>
            </w:r>
          </w:p>
        </w:tc>
      </w:tr>
      <w:tr>
        <w:trPr>
          <w:trHeight w:val="230"/>
        </w:trPr>
        <w:tc>
          <w:tcPr>
            <w:tcW w:w="4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Cost of revenues, excluding depreciation and amortization</w:t>
            </w: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(313,689)</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(327,107)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(630,842)</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(655,640)</w:t>
            </w:r>
          </w:p>
        </w:tc>
      </w:tr>
      <w:tr>
        <w:trPr>
          <w:trHeight w:val="175"/>
        </w:trPr>
        <w:tc>
          <w:tcPr>
            <w:tcW w:w="438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Selling, general and administrative expenses, excluding</w:t>
            </w:r>
          </w:p>
        </w:tc>
        <w:tc>
          <w:tcPr>
            <w:tcW w:w="2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r>
      <w:tr>
        <w:trPr>
          <w:trHeight w:val="243"/>
        </w:trPr>
        <w:tc>
          <w:tcPr>
            <w:tcW w:w="4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2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(143,386)</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(151,532)</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(280,625)</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(297,225)</w:t>
            </w:r>
          </w:p>
        </w:tc>
      </w:tr>
      <w:tr>
        <w:trPr>
          <w:trHeight w:val="229"/>
        </w:trPr>
        <w:tc>
          <w:tcPr>
            <w:tcW w:w="4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Restructuring costs</w:t>
            </w: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(613)</w:t>
            </w: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(4,757)</w:t>
            </w: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(5,988)</w:t>
            </w:r>
          </w:p>
        </w:tc>
      </w:tr>
      <w:tr>
        <w:trPr>
          <w:trHeight w:val="229"/>
        </w:trPr>
        <w:tc>
          <w:tcPr>
            <w:tcW w:w="4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 of intangible assets</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(37,198)</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(38,468)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(75,658)</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(77,156)</w:t>
            </w:r>
          </w:p>
        </w:tc>
      </w:tr>
      <w:tr>
        <w:trPr>
          <w:trHeight w:val="230"/>
        </w:trPr>
        <w:tc>
          <w:tcPr>
            <w:tcW w:w="43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Gains (losses), net on disposal of property and equipment</w:t>
            </w: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31,410</w:t>
            </w:r>
          </w:p>
        </w:tc>
        <w:tc>
          <w:tcPr>
            <w:tcW w:w="120" w:type="dxa"/>
            <w:vAlign w:val="bottom"/>
            <w:tcBorders>
              <w:bottom w:val="single" w:sz="8" w:color="CCEEFF"/>
            </w:tcBorders>
          </w:tcPr>
          <w:p>
            <w:pPr>
              <w:spacing w:after="0"/>
              <w:rPr>
                <w:sz w:val="19"/>
                <w:szCs w:val="19"/>
                <w:color w:val="auto"/>
              </w:rPr>
            </w:pPr>
          </w:p>
        </w:tc>
        <w:tc>
          <w:tcPr>
            <w:tcW w:w="9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31,488</w:t>
            </w:r>
          </w:p>
        </w:tc>
        <w:tc>
          <w:tcPr>
            <w:tcW w:w="120" w:type="dxa"/>
            <w:vAlign w:val="bottom"/>
            <w:tcBorders>
              <w:bottom w:val="single" w:sz="8" w:color="CCEEFF"/>
            </w:tcBorders>
          </w:tcPr>
          <w:p>
            <w:pPr>
              <w:spacing w:after="0"/>
              <w:rPr>
                <w:sz w:val="19"/>
                <w:szCs w:val="19"/>
                <w:color w:val="auto"/>
              </w:rPr>
            </w:pPr>
          </w:p>
        </w:tc>
        <w:tc>
          <w:tcPr>
            <w:tcW w:w="10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23"/>
        </w:trPr>
        <w:tc>
          <w:tcPr>
            <w:tcW w:w="4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76,604</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55,706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104,079</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99,094</w:t>
            </w:r>
          </w:p>
        </w:tc>
      </w:tr>
      <w:tr>
        <w:trPr>
          <w:trHeight w:val="230"/>
        </w:trPr>
        <w:tc>
          <w:tcPr>
            <w:tcW w:w="4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(58,653)</w:t>
            </w: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(52,123)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(102,403)</w:t>
            </w: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(107,040)</w:t>
            </w:r>
          </w:p>
        </w:tc>
      </w:tr>
      <w:tr>
        <w:trPr>
          <w:trHeight w:val="229"/>
        </w:trPr>
        <w:tc>
          <w:tcPr>
            <w:tcW w:w="4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(2,972)</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(2,972)</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financing transaction costs</w:t>
            </w: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(38,071)</w:t>
            </w: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(38,071)</w:t>
            </w: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Defined benefit pension plan income (expense)</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w:t>
            </w:r>
          </w:p>
        </w:tc>
      </w:tr>
      <w:tr>
        <w:trPr>
          <w:trHeight w:val="229"/>
        </w:trPr>
        <w:tc>
          <w:tcPr>
            <w:tcW w:w="43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Miscellaneous, net</w:t>
            </w: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(1,683)</w:t>
            </w:r>
          </w:p>
        </w:tc>
        <w:tc>
          <w:tcPr>
            <w:tcW w:w="120" w:type="dxa"/>
            <w:vAlign w:val="bottom"/>
            <w:tcBorders>
              <w:bottom w:val="single" w:sz="8" w:color="CCEEFF"/>
            </w:tcBorders>
          </w:tcPr>
          <w:p>
            <w:pPr>
              <w:spacing w:after="0"/>
              <w:rPr>
                <w:sz w:val="19"/>
                <w:szCs w:val="19"/>
                <w:color w:val="auto"/>
              </w:rPr>
            </w:pPr>
          </w:p>
        </w:tc>
        <w:tc>
          <w:tcPr>
            <w:tcW w:w="9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(419)</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(1,527)</w:t>
            </w:r>
          </w:p>
        </w:tc>
        <w:tc>
          <w:tcPr>
            <w:tcW w:w="120" w:type="dxa"/>
            <w:vAlign w:val="bottom"/>
            <w:tcBorders>
              <w:bottom w:val="single" w:sz="8" w:color="CCEEFF"/>
            </w:tcBorders>
          </w:tcPr>
          <w:p>
            <w:pPr>
              <w:spacing w:after="0"/>
              <w:rPr>
                <w:sz w:val="19"/>
                <w:szCs w:val="19"/>
                <w:color w:val="auto"/>
              </w:rPr>
            </w:pPr>
          </w:p>
        </w:tc>
        <w:tc>
          <w:tcPr>
            <w:tcW w:w="10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16,402</w:t>
            </w:r>
          </w:p>
        </w:tc>
      </w:tr>
      <w:tr>
        <w:trPr>
          <w:trHeight w:val="223"/>
        </w:trPr>
        <w:tc>
          <w:tcPr>
            <w:tcW w:w="4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(loss) from operations before income taxes</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(25,112)</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(41,569)</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8,810</w:t>
            </w:r>
          </w:p>
        </w:tc>
      </w:tr>
      <w:tr>
        <w:trPr>
          <w:trHeight w:val="230"/>
        </w:trPr>
        <w:tc>
          <w:tcPr>
            <w:tcW w:w="43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Benefit (provision) for income taxes</w:t>
            </w: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(10,850)</w:t>
            </w:r>
          </w:p>
        </w:tc>
        <w:tc>
          <w:tcPr>
            <w:tcW w:w="120" w:type="dxa"/>
            <w:vAlign w:val="bottom"/>
            <w:tcBorders>
              <w:bottom w:val="single" w:sz="8" w:color="CCEEFF"/>
            </w:tcBorders>
          </w:tcPr>
          <w:p>
            <w:pPr>
              <w:spacing w:after="0"/>
              <w:rPr>
                <w:sz w:val="19"/>
                <w:szCs w:val="19"/>
                <w:color w:val="auto"/>
              </w:rPr>
            </w:pPr>
          </w:p>
        </w:tc>
        <w:tc>
          <w:tcPr>
            <w:tcW w:w="9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(1,912)</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2,152</w:t>
            </w:r>
          </w:p>
        </w:tc>
        <w:tc>
          <w:tcPr>
            <w:tcW w:w="120" w:type="dxa"/>
            <w:vAlign w:val="bottom"/>
            <w:tcBorders>
              <w:bottom w:val="single" w:sz="8" w:color="CCEEFF"/>
            </w:tcBorders>
          </w:tcPr>
          <w:p>
            <w:pPr>
              <w:spacing w:after="0"/>
              <w:rPr>
                <w:sz w:val="19"/>
                <w:szCs w:val="19"/>
                <w:color w:val="auto"/>
              </w:rPr>
            </w:pPr>
          </w:p>
        </w:tc>
        <w:tc>
          <w:tcPr>
            <w:tcW w:w="10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(5,755)</w:t>
            </w:r>
          </w:p>
        </w:tc>
      </w:tr>
      <w:tr>
        <w:trPr>
          <w:trHeight w:val="248"/>
        </w:trPr>
        <w:tc>
          <w:tcPr>
            <w:tcW w:w="43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(35,962)</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(39,417)</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3,055</w:t>
            </w:r>
          </w:p>
        </w:tc>
      </w:tr>
      <w:tr>
        <w:trPr>
          <w:trHeight w:val="20"/>
        </w:trPr>
        <w:tc>
          <w:tcPr>
            <w:tcW w:w="42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ind w:right="120" w:firstLine="405"/>
        <w:spacing w:after="0" w:line="261" w:lineRule="auto"/>
        <w:rPr>
          <w:sz w:val="20"/>
          <w:szCs w:val="20"/>
          <w:color w:val="auto"/>
        </w:rPr>
      </w:pPr>
      <w:r>
        <w:rPr>
          <w:rFonts w:ascii="Times New Roman" w:cs="Times New Roman" w:eastAsia="Times New Roman" w:hAnsi="Times New Roman"/>
          <w:sz w:val="18"/>
          <w:szCs w:val="18"/>
          <w:color w:val="auto"/>
        </w:rPr>
        <w:t>Operating revenues decreased $33.5 million or 5.8% in the second quarter of 2025 and $70.6 million or 6.2% in the first six months of 2025 when compared to prior periods. Core advertising revenue decreased $4.1 million and $15.3 million in the quarter-to-date and year-to-date periods, respectively. In this non-election year, political revenue decreased $26.4 million and $39.1 million in the quarter-to-date and year-to-date periods, respectively. Distribution revenue decreased $4.2 million and $17.8 million in the quarter-to-date and year-to-date periods, respectively.</w:t>
      </w:r>
    </w:p>
    <w:p>
      <w:pPr>
        <w:spacing w:after="0" w:line="207" w:lineRule="exact"/>
        <w:rPr>
          <w:sz w:val="20"/>
          <w:szCs w:val="20"/>
          <w:color w:val="auto"/>
        </w:rPr>
      </w:pPr>
    </w:p>
    <w:p>
      <w:pPr>
        <w:ind w:right="40" w:firstLine="405"/>
        <w:spacing w:after="0" w:line="254" w:lineRule="auto"/>
        <w:rPr>
          <w:sz w:val="20"/>
          <w:szCs w:val="20"/>
          <w:color w:val="auto"/>
        </w:rPr>
      </w:pPr>
      <w:r>
        <w:rPr>
          <w:rFonts w:ascii="Times New Roman" w:cs="Times New Roman" w:eastAsia="Times New Roman" w:hAnsi="Times New Roman"/>
          <w:sz w:val="18"/>
          <w:szCs w:val="18"/>
          <w:color w:val="auto"/>
        </w:rPr>
        <w:t>Cost of revenues, which is comprised of programming costs and costs associated with distributing our content, decreased $13.4 million or 4.1% in the second quarter of 2025 and $24.8 million or 3.8% in the first six months of 2025 when compared to prior periods. Employee compensation costs decreased $4.2 million and $9.0 million in the quarter-to-date and year-to-date periods, respectively, reflecting the impact of our restructuring initiatives. Syndicated programming decreased $6.1 million and $14.3 million and in the quarter-to-date and year-to-date periods, respectively. Network programming decreased $2.7 million and $7.0 million in the quarter-to-date and year-to-date periods, respectively, mainly due to carriage affiliation fees. Additionally, news service coverage costs decreased $2.4 million and $4.5 million in the quarter-to-date and year-to-date periods, respectively, driven by the shut down of the over-the-air broadcast for Scripps News. These cost decreases were partially offset by an increase in sports rights fees of $5.3 million and $14.3 million in the quarter-to-date and year-to-date periods, respectively.</w:t>
      </w:r>
    </w:p>
    <w:p>
      <w:pPr>
        <w:spacing w:after="0" w:line="219" w:lineRule="exact"/>
        <w:rPr>
          <w:sz w:val="20"/>
          <w:szCs w:val="20"/>
          <w:color w:val="auto"/>
        </w:rPr>
      </w:pPr>
    </w:p>
    <w:p>
      <w:pPr>
        <w:ind w:right="20" w:firstLine="405"/>
        <w:spacing w:after="0" w:line="256" w:lineRule="auto"/>
        <w:rPr>
          <w:sz w:val="20"/>
          <w:szCs w:val="20"/>
          <w:color w:val="auto"/>
        </w:rPr>
      </w:pPr>
      <w:r>
        <w:rPr>
          <w:rFonts w:ascii="Times New Roman" w:cs="Times New Roman" w:eastAsia="Times New Roman" w:hAnsi="Times New Roman"/>
          <w:sz w:val="18"/>
          <w:szCs w:val="18"/>
          <w:color w:val="auto"/>
        </w:rPr>
        <w:t>Selling, general and administrative expenses are primarily comprised of sales, marketing and advertising expenses, research costs and costs related to corporate administrative functions. Selling, general and administrative expenses decreased $8.1 million or 5.4% in the second quarter of 2025 and $16.6 million or 5.6% in the first six months of 2025 when compared to prior periods. Employee compensation costs decreased $1.3 million and $5.0 million in the quarter-to-date and year-to-date periods, respectively, due to savings achieved through our restructuring efforts. Advertising and promotions costs decreased $2.7 million and $6.0 million in the quarter-to-date and year-to-date periods, respectively. Our national sales commissions decreased $1.4 million and $4.0 million in the quarter-to-date and year-to-date periods, respectively.</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33" w:name="page34"/>
    <w:bookmarkEnd w:id="33"/>
    <w:p>
      <w:pPr>
        <w:ind w:firstLine="405"/>
        <w:spacing w:after="0" w:line="261" w:lineRule="auto"/>
        <w:rPr>
          <w:sz w:val="20"/>
          <w:szCs w:val="20"/>
          <w:color w:val="auto"/>
        </w:rPr>
      </w:pPr>
      <w:r>
        <w:rPr>
          <w:rFonts w:ascii="Times New Roman" w:cs="Times New Roman" w:eastAsia="Times New Roman" w:hAnsi="Times New Roman"/>
          <w:sz w:val="18"/>
          <w:szCs w:val="18"/>
          <w:color w:val="auto"/>
        </w:rPr>
        <w:t>Restructuring costs in the second quarter of 2025 and 2024 totaled $0.6 million and $1.0 million, respectively. Year-to-date restructuring costs totaled $4.8 million and $6.0 million in 2025 and 2024, respectively. Restructuring costs in 2025 included severance charges of $2.6 million and operating lease exit costs of $2.1 million. Restructuring costs in 2024 included severance charges and outside consulting fees associated with our strategic reorganization efforts.</w:t>
      </w:r>
    </w:p>
    <w:p>
      <w:pPr>
        <w:spacing w:after="0" w:line="207" w:lineRule="exact"/>
        <w:rPr>
          <w:sz w:val="20"/>
          <w:szCs w:val="20"/>
          <w:color w:val="auto"/>
        </w:rPr>
      </w:pPr>
    </w:p>
    <w:p>
      <w:pPr>
        <w:ind w:right="80" w:firstLine="405"/>
        <w:spacing w:after="0" w:line="282" w:lineRule="auto"/>
        <w:rPr>
          <w:sz w:val="20"/>
          <w:szCs w:val="20"/>
          <w:color w:val="auto"/>
        </w:rPr>
      </w:pPr>
      <w:r>
        <w:rPr>
          <w:rFonts w:ascii="Times New Roman" w:cs="Times New Roman" w:eastAsia="Times New Roman" w:hAnsi="Times New Roman"/>
          <w:sz w:val="18"/>
          <w:szCs w:val="18"/>
          <w:color w:val="auto"/>
        </w:rPr>
        <w:t>Depreciation and amortization of intangible assets decreased $1.3 million or 3.3% in the second quarter of 2025 and $1.5 million or 1.9% in the first six months of 2025 when compared to prior periods.</w:t>
      </w:r>
    </w:p>
    <w:p>
      <w:pPr>
        <w:spacing w:after="0" w:line="189" w:lineRule="exact"/>
        <w:rPr>
          <w:sz w:val="20"/>
          <w:szCs w:val="20"/>
          <w:color w:val="auto"/>
        </w:rPr>
      </w:pPr>
    </w:p>
    <w:p>
      <w:pPr>
        <w:ind w:right="760" w:firstLine="405"/>
        <w:spacing w:after="0" w:line="282" w:lineRule="auto"/>
        <w:rPr>
          <w:sz w:val="20"/>
          <w:szCs w:val="20"/>
          <w:color w:val="auto"/>
        </w:rPr>
      </w:pPr>
      <w:r>
        <w:rPr>
          <w:rFonts w:ascii="Times New Roman" w:cs="Times New Roman" w:eastAsia="Times New Roman" w:hAnsi="Times New Roman"/>
          <w:sz w:val="18"/>
          <w:szCs w:val="18"/>
          <w:color w:val="auto"/>
        </w:rPr>
        <w:t>On April 30, 2025, we completed the sale of our West Palm Beach television station building to 110 Banyan LLC for cash consideration of $40.0 million and recognized a pre-tax gain from disposition of $31.4 million.</w:t>
      </w:r>
    </w:p>
    <w:p>
      <w:pPr>
        <w:spacing w:after="0" w:line="189" w:lineRule="exact"/>
        <w:rPr>
          <w:sz w:val="20"/>
          <w:szCs w:val="20"/>
          <w:color w:val="auto"/>
        </w:rPr>
      </w:pPr>
    </w:p>
    <w:p>
      <w:pPr>
        <w:ind w:right="160" w:firstLine="405"/>
        <w:spacing w:after="0" w:line="255" w:lineRule="auto"/>
        <w:rPr>
          <w:sz w:val="20"/>
          <w:szCs w:val="20"/>
          <w:color w:val="auto"/>
        </w:rPr>
      </w:pPr>
      <w:r>
        <w:rPr>
          <w:rFonts w:ascii="Times New Roman" w:cs="Times New Roman" w:eastAsia="Times New Roman" w:hAnsi="Times New Roman"/>
          <w:sz w:val="18"/>
          <w:szCs w:val="18"/>
          <w:color w:val="auto"/>
        </w:rPr>
        <w:t>Interest expense increased $6.5 million in the second quarter of 2025 and decreased $4.6 million in the first six months of 2025 when compared to prior periods. The year-to-date decrease in interest expense was due to lower year-over-year outstanding balances and interest rates on our variable debt borrowings. As part of the April 10, 2025 refinancing transactions, we paid off the remaining balances for our term loans that were due to mature in May 2026 and January 2028. In connection with the retirement of these term loans, we wrote-off $5.6 million of deferred financing costs to interest expense, which drove the quarter-to-date increase in interest expense. We also incurred a $3.0 million loss on the extinguishment of debt when we paid off the remaining balances for our term loans. Additionally, we incurred $38.1 million of non-capitalized transaction costs related to the debt refinancing. These costs are reflected in the caption "Other financing transaction costs" for the six months ended June 30, 2025.</w:t>
      </w:r>
    </w:p>
    <w:p>
      <w:pPr>
        <w:spacing w:after="0" w:line="216" w:lineRule="exact"/>
        <w:rPr>
          <w:sz w:val="20"/>
          <w:szCs w:val="20"/>
          <w:color w:val="auto"/>
        </w:rPr>
      </w:pPr>
    </w:p>
    <w:p>
      <w:pPr>
        <w:ind w:right="40" w:firstLine="405"/>
        <w:spacing w:after="0" w:line="266" w:lineRule="auto"/>
        <w:rPr>
          <w:sz w:val="20"/>
          <w:szCs w:val="20"/>
          <w:color w:val="auto"/>
        </w:rPr>
      </w:pPr>
      <w:r>
        <w:rPr>
          <w:rFonts w:ascii="Times New Roman" w:cs="Times New Roman" w:eastAsia="Times New Roman" w:hAnsi="Times New Roman"/>
          <w:sz w:val="18"/>
          <w:szCs w:val="18"/>
          <w:color w:val="auto"/>
        </w:rPr>
        <w:t>On February 9, 2024, following the completed sale of Broadcast Music, Inc. ("BMI") to New Mountain Capital, we received $18.1 million in pre-tax cash proceeds for our equity ownership in BMI. We did not have any carrying value associated with our BMI investment. This gain was included in Miscellaneous, net for the six months ended June 30, 2024.</w:t>
      </w:r>
    </w:p>
    <w:p>
      <w:pPr>
        <w:spacing w:after="0" w:line="203" w:lineRule="exact"/>
        <w:rPr>
          <w:sz w:val="20"/>
          <w:szCs w:val="20"/>
          <w:color w:val="auto"/>
        </w:rPr>
      </w:pPr>
    </w:p>
    <w:p>
      <w:pPr>
        <w:ind w:right="80" w:firstLine="405"/>
        <w:spacing w:after="0" w:line="258" w:lineRule="auto"/>
        <w:rPr>
          <w:sz w:val="20"/>
          <w:szCs w:val="20"/>
          <w:color w:val="auto"/>
        </w:rPr>
      </w:pPr>
      <w:r>
        <w:rPr>
          <w:rFonts w:ascii="Times New Roman" w:cs="Times New Roman" w:eastAsia="Times New Roman" w:hAnsi="Times New Roman"/>
          <w:sz w:val="18"/>
          <w:szCs w:val="18"/>
          <w:color w:val="auto"/>
        </w:rPr>
        <w:t>The effective income tax rate was 5.2% and 65% for the six months ended June 30, 2025 and 2024, respectively. Differences between our effective income tax rate and the U.S. federal statutory rate are the impact of state taxes, foreign taxes, non-deductible expenses, changes in reserves for uncertain tax positions, excess tax benefits or expense from the exercise and vesting of share-based compensation awards ($2.1 million expense in 2025 and $3.8 million expense in 2024), state deferred rate changes ($1.4 million expense in 2025 and $0.7 million expense in 2024) and state NOL valuation allowance changes.</w:t>
      </w:r>
    </w:p>
    <w:p>
      <w:pPr>
        <w:spacing w:after="0" w:line="200" w:lineRule="exact"/>
        <w:rPr>
          <w:sz w:val="20"/>
          <w:szCs w:val="20"/>
          <w:color w:val="auto"/>
        </w:rPr>
      </w:pPr>
    </w:p>
    <w:p>
      <w:pPr>
        <w:spacing w:after="0" w:line="32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891" w:right="399" w:bottom="1440" w:gutter="0" w:footer="0" w:header="0"/>
        </w:sectPr>
      </w:pPr>
    </w:p>
    <w:bookmarkStart w:id="34" w:name="page35"/>
    <w:bookmarkEnd w:id="34"/>
    <w:p>
      <w:pPr>
        <w:ind w:right="400"/>
        <w:spacing w:after="0" w:line="282" w:lineRule="auto"/>
        <w:rPr>
          <w:sz w:val="20"/>
          <w:szCs w:val="20"/>
          <w:color w:val="auto"/>
        </w:rPr>
      </w:pPr>
      <w:r>
        <w:rPr>
          <w:rFonts w:ascii="Times New Roman" w:cs="Times New Roman" w:eastAsia="Times New Roman" w:hAnsi="Times New Roman"/>
          <w:sz w:val="17"/>
          <w:szCs w:val="17"/>
          <w:b w:val="1"/>
          <w:bCs w:val="1"/>
          <w:color w:val="auto"/>
        </w:rPr>
        <w:t xml:space="preserve">Operating Performance — </w:t>
      </w:r>
      <w:r>
        <w:rPr>
          <w:rFonts w:ascii="Times New Roman" w:cs="Times New Roman" w:eastAsia="Times New Roman" w:hAnsi="Times New Roman"/>
          <w:sz w:val="17"/>
          <w:szCs w:val="17"/>
          <w:color w:val="auto"/>
        </w:rPr>
        <w:t>As discussed in the Notes to Condensed Consolidated Financial Statements, our chief operating decision maker evaluates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operating performance using a measure called segment profit. Segment profit excludes interest, defined benefit pension plan amounts, income taxes, depreciation and amortization, impairment charges, divested operating units, restructuring activities, investment results and certain other items that are included in net income (loss) determined in accordance with accounting principles generally accepted in the United States of America.</w:t>
      </w:r>
    </w:p>
    <w:p>
      <w:pPr>
        <w:spacing w:after="0" w:line="125" w:lineRule="exact"/>
        <w:rPr>
          <w:sz w:val="20"/>
          <w:szCs w:val="20"/>
          <w:color w:val="auto"/>
        </w:rPr>
      </w:pPr>
    </w:p>
    <w:p>
      <w:pPr>
        <w:ind w:right="160" w:firstLine="445"/>
        <w:spacing w:after="0" w:line="258" w:lineRule="auto"/>
        <w:rPr>
          <w:sz w:val="20"/>
          <w:szCs w:val="20"/>
          <w:color w:val="auto"/>
        </w:rPr>
      </w:pPr>
      <w:r>
        <w:rPr>
          <w:rFonts w:ascii="Times New Roman" w:cs="Times New Roman" w:eastAsia="Times New Roman" w:hAnsi="Times New Roman"/>
          <w:sz w:val="18"/>
          <w:szCs w:val="18"/>
          <w:color w:val="auto"/>
        </w:rPr>
        <w:t>For our operating segments, items excluded from segment profit generally result from decisions made in prior periods or from decisions made by corporate executives rather than the managers of the segments. Depreciation and amortization charges are the result of decisions made in prior periods regarding the allocation of resources and are, therefore, excluded from the measure. Generally, our corporate executives make financing, tax structure and divestiture decisions. Excluding these items from measurement of segment performance enables us to evaluate operating performance based upon current economic conditions and decisions made by the managers of those segments in the current period.</w:t>
      </w:r>
    </w:p>
    <w:p>
      <w:pPr>
        <w:spacing w:after="0" w:line="156" w:lineRule="exact"/>
        <w:rPr>
          <w:sz w:val="20"/>
          <w:szCs w:val="20"/>
          <w:color w:val="auto"/>
        </w:rPr>
      </w:pPr>
    </w:p>
    <w:p>
      <w:pPr>
        <w:ind w:firstLine="405"/>
        <w:spacing w:after="0" w:line="258" w:lineRule="auto"/>
        <w:rPr>
          <w:sz w:val="20"/>
          <w:szCs w:val="20"/>
          <w:color w:val="auto"/>
        </w:rPr>
      </w:pPr>
      <w:r>
        <w:rPr>
          <w:rFonts w:ascii="Times New Roman" w:cs="Times New Roman" w:eastAsia="Times New Roman" w:hAnsi="Times New Roman"/>
          <w:sz w:val="18"/>
          <w:szCs w:val="18"/>
          <w:color w:val="auto"/>
        </w:rPr>
        <w:t>Our segment results reflect the impact of intercompany carriage agreements between our local broadcast television stations and our national networks. The intercompany carriage fee revenue earned by our local broadcast television stations is equal to the carriage fee expense incurred by our national networks. We also allocate a portion of certain corporate costs and expenses, including accounting, human resources, employee benefit and information technology to our segments. These intercompany agreements and allocations are generally amounts agreed upon by management, which may differ from an arms-length amount.</w:t>
      </w:r>
    </w:p>
    <w:p>
      <w:pPr>
        <w:spacing w:after="0" w:line="143" w:lineRule="exact"/>
        <w:rPr>
          <w:sz w:val="20"/>
          <w:szCs w:val="20"/>
          <w:color w:val="auto"/>
        </w:rPr>
      </w:pPr>
    </w:p>
    <w:p>
      <w:pPr>
        <w:ind w:right="80" w:firstLine="405"/>
        <w:spacing w:after="0" w:line="261" w:lineRule="auto"/>
        <w:rPr>
          <w:sz w:val="20"/>
          <w:szCs w:val="20"/>
          <w:color w:val="auto"/>
        </w:rPr>
      </w:pPr>
      <w:r>
        <w:rPr>
          <w:rFonts w:ascii="Times New Roman" w:cs="Times New Roman" w:eastAsia="Times New Roman" w:hAnsi="Times New Roman"/>
          <w:sz w:val="18"/>
          <w:szCs w:val="18"/>
          <w:color w:val="auto"/>
        </w:rPr>
        <w:t>The other segment caption aggregates our operating segments that are too small to report separately. Costs for centrally provided services and certain corporate costs that are not allocated to the segments are included in shared services and corporate costs. These unallocated corporate costs would also include the costs associated with being a public company. Corporate assets are primarily cash and cash equivalents, property and equipment primarily used for corporate purposes and deferred income taxes.</w:t>
      </w:r>
    </w:p>
    <w:p>
      <w:pPr>
        <w:spacing w:after="0" w:line="207" w:lineRule="exact"/>
        <w:rPr>
          <w:sz w:val="20"/>
          <w:szCs w:val="20"/>
          <w:color w:val="auto"/>
        </w:rPr>
      </w:pPr>
    </w:p>
    <w:p>
      <w:pPr>
        <w:ind w:right="300" w:firstLine="405"/>
        <w:spacing w:after="0" w:line="273" w:lineRule="auto"/>
        <w:rPr>
          <w:sz w:val="20"/>
          <w:szCs w:val="20"/>
          <w:color w:val="auto"/>
        </w:rPr>
      </w:pPr>
      <w:r>
        <w:rPr>
          <w:rFonts w:ascii="Times New Roman" w:cs="Times New Roman" w:eastAsia="Times New Roman" w:hAnsi="Times New Roman"/>
          <w:sz w:val="18"/>
          <w:szCs w:val="18"/>
          <w:color w:val="auto"/>
        </w:rPr>
        <w:t>Information regarding our operating performance and a reconciliation of such information to the condensed consolidated financial statements is as follows:</w:t>
      </w:r>
    </w:p>
    <w:tbl>
      <w:tblPr>
        <w:tblLayout w:type="fixed"/>
        <w:tblInd w:w="0" w:type="dxa"/>
        <w:tblCellMar>
          <w:top w:w="0" w:type="dxa"/>
          <w:left w:w="0" w:type="dxa"/>
          <w:bottom w:w="0" w:type="dxa"/>
          <w:right w:w="0" w:type="dxa"/>
        </w:tblCellMar>
      </w:tblPr>
      <w:tr>
        <w:trPr>
          <w:trHeight w:val="182"/>
        </w:trPr>
        <w:tc>
          <w:tcPr>
            <w:tcW w:w="4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300" w:type="dxa"/>
            <w:vAlign w:val="bottom"/>
            <w:gridSpan w:val="5"/>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rPr>
              <w:t>Three Months Ended</w:t>
            </w: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340" w:type="dxa"/>
            <w:vAlign w:val="bottom"/>
            <w:gridSpan w:val="5"/>
          </w:tcPr>
          <w:p>
            <w:pPr>
              <w:jc w:val="center"/>
              <w:ind w:left="550"/>
              <w:spacing w:after="0" w:line="182" w:lineRule="exact"/>
              <w:rPr>
                <w:sz w:val="20"/>
                <w:szCs w:val="20"/>
                <w:color w:val="auto"/>
              </w:rPr>
            </w:pPr>
            <w:r>
              <w:rPr>
                <w:rFonts w:ascii="Times New Roman" w:cs="Times New Roman" w:eastAsia="Times New Roman" w:hAnsi="Times New Roman"/>
                <w:sz w:val="18"/>
                <w:szCs w:val="18"/>
                <w:color w:val="auto"/>
                <w:w w:val="99"/>
              </w:rPr>
              <w:t>Six Months Ended</w:t>
            </w:r>
          </w:p>
        </w:tc>
        <w:tc>
          <w:tcPr>
            <w:tcW w:w="880" w:type="dxa"/>
            <w:vAlign w:val="bottom"/>
          </w:tcPr>
          <w:p>
            <w:pPr>
              <w:spacing w:after="0"/>
              <w:rPr>
                <w:sz w:val="15"/>
                <w:szCs w:val="15"/>
                <w:color w:val="auto"/>
              </w:rPr>
            </w:pPr>
          </w:p>
        </w:tc>
      </w:tr>
      <w:tr>
        <w:trPr>
          <w:trHeight w:val="236"/>
        </w:trPr>
        <w:tc>
          <w:tcPr>
            <w:tcW w:w="4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June 30,</w:t>
            </w:r>
          </w:p>
        </w:tc>
        <w:tc>
          <w:tcPr>
            <w:tcW w:w="2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June 30,</w:t>
            </w: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r>
      <w:tr>
        <w:trPr>
          <w:trHeight w:val="230"/>
        </w:trPr>
        <w:tc>
          <w:tcPr>
            <w:tcW w:w="4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240" w:type="dxa"/>
            <w:vAlign w:val="bottom"/>
          </w:tcPr>
          <w:p>
            <w:pPr>
              <w:spacing w:after="0"/>
              <w:rPr>
                <w:sz w:val="19"/>
                <w:szCs w:val="19"/>
                <w:color w:val="auto"/>
              </w:rPr>
            </w:pPr>
          </w:p>
        </w:tc>
        <w:tc>
          <w:tcPr>
            <w:tcW w:w="8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tcPr>
          <w:p>
            <w:pPr>
              <w:spacing w:after="0"/>
              <w:rPr>
                <w:sz w:val="19"/>
                <w:szCs w:val="19"/>
                <w:color w:val="auto"/>
              </w:rPr>
            </w:pPr>
          </w:p>
        </w:tc>
        <w:tc>
          <w:tcPr>
            <w:tcW w:w="10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Change</w:t>
            </w:r>
          </w:p>
        </w:tc>
        <w:tc>
          <w:tcPr>
            <w:tcW w:w="260" w:type="dxa"/>
            <w:vAlign w:val="bottom"/>
          </w:tcPr>
          <w:p>
            <w:pPr>
              <w:spacing w:after="0"/>
              <w:rPr>
                <w:sz w:val="19"/>
                <w:szCs w:val="19"/>
                <w:color w:val="auto"/>
              </w:rPr>
            </w:pPr>
          </w:p>
        </w:tc>
        <w:tc>
          <w:tcPr>
            <w:tcW w:w="82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2025</w:t>
            </w:r>
          </w:p>
        </w:tc>
        <w:tc>
          <w:tcPr>
            <w:tcW w:w="120" w:type="dxa"/>
            <w:vAlign w:val="bottom"/>
          </w:tcPr>
          <w:p>
            <w:pPr>
              <w:spacing w:after="0"/>
              <w:rPr>
                <w:sz w:val="19"/>
                <w:szCs w:val="19"/>
                <w:color w:val="auto"/>
              </w:rPr>
            </w:pPr>
          </w:p>
        </w:tc>
        <w:tc>
          <w:tcPr>
            <w:tcW w:w="11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Change</w:t>
            </w:r>
          </w:p>
        </w:tc>
        <w:tc>
          <w:tcPr>
            <w:tcW w:w="220" w:type="dxa"/>
            <w:vAlign w:val="bottom"/>
          </w:tcPr>
          <w:p>
            <w:pPr>
              <w:spacing w:after="0"/>
              <w:rPr>
                <w:sz w:val="19"/>
                <w:szCs w:val="19"/>
                <w:color w:val="auto"/>
              </w:rPr>
            </w:pPr>
          </w:p>
        </w:tc>
        <w:tc>
          <w:tcPr>
            <w:tcW w:w="8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2024</w:t>
            </w:r>
          </w:p>
        </w:tc>
      </w:tr>
      <w:tr>
        <w:trPr>
          <w:trHeight w:val="34"/>
        </w:trPr>
        <w:tc>
          <w:tcPr>
            <w:tcW w:w="426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top w:val="single" w:sz="8" w:color="auto"/>
            </w:tcBorders>
          </w:tcPr>
          <w:p>
            <w:pPr>
              <w:spacing w:after="0"/>
              <w:rPr>
                <w:sz w:val="2"/>
                <w:szCs w:val="2"/>
                <w:color w:val="auto"/>
              </w:rPr>
            </w:pPr>
          </w:p>
        </w:tc>
        <w:tc>
          <w:tcPr>
            <w:tcW w:w="8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top w:val="single" w:sz="8" w:color="auto"/>
            </w:tcBorders>
          </w:tcPr>
          <w:p>
            <w:pPr>
              <w:spacing w:after="0"/>
              <w:rPr>
                <w:sz w:val="2"/>
                <w:szCs w:val="2"/>
                <w:color w:val="auto"/>
              </w:rPr>
            </w:pPr>
          </w:p>
        </w:tc>
        <w:tc>
          <w:tcPr>
            <w:tcW w:w="82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88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880" w:type="dxa"/>
            <w:vAlign w:val="bottom"/>
            <w:tcBorders>
              <w:top w:val="single" w:sz="8" w:color="auto"/>
            </w:tcBorders>
          </w:tcPr>
          <w:p>
            <w:pPr>
              <w:spacing w:after="0"/>
              <w:rPr>
                <w:sz w:val="2"/>
                <w:szCs w:val="2"/>
                <w:color w:val="auto"/>
              </w:rPr>
            </w:pPr>
          </w:p>
        </w:tc>
      </w:tr>
      <w:tr>
        <w:trPr>
          <w:trHeight w:val="230"/>
        </w:trPr>
        <w:tc>
          <w:tcPr>
            <w:tcW w:w="4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operating revenues:</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30"/>
        </w:trPr>
        <w:tc>
          <w:tcPr>
            <w:tcW w:w="43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Local Media</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334,766</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364,926</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660,155</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717,762</w:t>
            </w:r>
          </w:p>
        </w:tc>
      </w:tr>
      <w:tr>
        <w:trPr>
          <w:trHeight w:val="229"/>
        </w:trPr>
        <w:tc>
          <w:tcPr>
            <w:tcW w:w="43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Scripps Networks</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205,765</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208,720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403,772</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417,998</w:t>
            </w:r>
          </w:p>
        </w:tc>
      </w:tr>
      <w:tr>
        <w:trPr>
          <w:trHeight w:val="230"/>
        </w:trPr>
        <w:tc>
          <w:tcPr>
            <w:tcW w:w="43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4,243</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4,746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9,923</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12.0 %</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8,859</w:t>
            </w:r>
          </w:p>
        </w:tc>
      </w:tr>
      <w:tr>
        <w:trPr>
          <w:trHeight w:val="230"/>
        </w:trPr>
        <w:tc>
          <w:tcPr>
            <w:tcW w:w="43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Intersegment eliminations</w:t>
            </w: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(4,694)</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(4,763)</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(9,377)</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(9,526)</w:t>
            </w:r>
          </w:p>
        </w:tc>
      </w:tr>
      <w:tr>
        <w:trPr>
          <w:trHeight w:val="223"/>
        </w:trPr>
        <w:tc>
          <w:tcPr>
            <w:tcW w:w="4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operating revenues</w:t>
            </w: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540,080</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573,629</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1,064,473</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1,135,093</w:t>
            </w:r>
          </w:p>
        </w:tc>
      </w:tr>
      <w:tr>
        <w:trPr>
          <w:trHeight w:val="20"/>
        </w:trPr>
        <w:tc>
          <w:tcPr>
            <w:tcW w:w="42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223"/>
        </w:trPr>
        <w:tc>
          <w:tcPr>
            <w:tcW w:w="4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profit (loss):</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30"/>
        </w:trPr>
        <w:tc>
          <w:tcPr>
            <w:tcW w:w="43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Local Media</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55,821</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(36.7)%</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88,130</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90,740</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(41.0)%</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153,686</w:t>
            </w:r>
          </w:p>
        </w:tc>
      </w:tr>
      <w:tr>
        <w:trPr>
          <w:trHeight w:val="230"/>
        </w:trPr>
        <w:tc>
          <w:tcPr>
            <w:tcW w:w="43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Scripps Networks</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55,948</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37,747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120,041</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37.3 %</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87,401</w:t>
            </w:r>
          </w:p>
        </w:tc>
      </w:tr>
      <w:tr>
        <w:trPr>
          <w:trHeight w:val="230"/>
        </w:trPr>
        <w:tc>
          <w:tcPr>
            <w:tcW w:w="43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(6,979)</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(9,236)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(13,384)</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(15,633)</w:t>
            </w:r>
          </w:p>
        </w:tc>
      </w:tr>
      <w:tr>
        <w:trPr>
          <w:trHeight w:val="229"/>
        </w:trPr>
        <w:tc>
          <w:tcPr>
            <w:tcW w:w="43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Shared services and corporate</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(21,785)</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(21,651)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(44,391)</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2.7 %</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(43,226)</w:t>
            </w:r>
          </w:p>
        </w:tc>
      </w:tr>
      <w:tr>
        <w:trPr>
          <w:trHeight w:val="230"/>
        </w:trPr>
        <w:tc>
          <w:tcPr>
            <w:tcW w:w="4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Restructuring costs</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(613)</w:t>
            </w: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(4,757)</w:t>
            </w: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(5,988)</w:t>
            </w:r>
          </w:p>
        </w:tc>
      </w:tr>
      <w:tr>
        <w:trPr>
          <w:trHeight w:val="230"/>
        </w:trPr>
        <w:tc>
          <w:tcPr>
            <w:tcW w:w="4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 of intangible assets</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(37,198)</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(38,468)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(75,658)</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(77,156)</w:t>
            </w:r>
          </w:p>
        </w:tc>
      </w:tr>
      <w:tr>
        <w:trPr>
          <w:trHeight w:val="230"/>
        </w:trPr>
        <w:tc>
          <w:tcPr>
            <w:tcW w:w="4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Gains (losses), net on disposal of property and equipment</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31,410</w:t>
            </w: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31,488</w:t>
            </w: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29"/>
        </w:trPr>
        <w:tc>
          <w:tcPr>
            <w:tcW w:w="4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(58,653)</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(52,123)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(102,403)</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(107,040)</w:t>
            </w:r>
          </w:p>
        </w:tc>
      </w:tr>
      <w:tr>
        <w:trPr>
          <w:trHeight w:val="230"/>
        </w:trPr>
        <w:tc>
          <w:tcPr>
            <w:tcW w:w="4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(2,972)</w:t>
            </w: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(2,972)</w:t>
            </w: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financing transaction costs</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(38,071)</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(38,071)</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Defined benefit pension plan income (expense)</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w:t>
            </w: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(675)</w:t>
            </w: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w:t>
            </w:r>
          </w:p>
        </w:tc>
      </w:tr>
      <w:tr>
        <w:trPr>
          <w:trHeight w:val="230"/>
        </w:trPr>
        <w:tc>
          <w:tcPr>
            <w:tcW w:w="4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Miscellaneous, net</w:t>
            </w: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(1,683)</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(1,527)</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16,402</w:t>
            </w:r>
          </w:p>
        </w:tc>
      </w:tr>
      <w:tr>
        <w:trPr>
          <w:trHeight w:val="223"/>
        </w:trPr>
        <w:tc>
          <w:tcPr>
            <w:tcW w:w="4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Income (loss) from operations before income taxes</w:t>
            </w: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(25,112)</w:t>
            </w: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3,341</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(41,569)</w:t>
            </w: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8,810</w:t>
            </w:r>
          </w:p>
        </w:tc>
      </w:tr>
      <w:tr>
        <w:trPr>
          <w:trHeight w:val="20"/>
        </w:trPr>
        <w:tc>
          <w:tcPr>
            <w:tcW w:w="4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35" w:name="page36"/>
    <w:bookmarkEnd w:id="35"/>
    <w:p>
      <w:pPr>
        <w:ind w:right="10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Local Media — </w:t>
      </w:r>
      <w:r>
        <w:rPr>
          <w:rFonts w:ascii="Times New Roman" w:cs="Times New Roman" w:eastAsia="Times New Roman" w:hAnsi="Times New Roman"/>
          <w:sz w:val="18"/>
          <w:szCs w:val="18"/>
          <w:color w:val="auto"/>
        </w:rPr>
        <w:t>Our Local Media segment includes more than 60 local television stations and their related digital operations. It is comprised of 18 ABC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affiliates, 11 NBC affiliates, nine CBS affiliates and four FOX affiliates. We also have 11 independent stations and 10 additional low power stations. Our Local Media segment earns revenue primarily from the sale of advertising to local, national and political advertisers and retransmission fees received from cable operators, telecommunications companies, satellite carriers and over-the-top virtual MVPDs.</w:t>
      </w:r>
    </w:p>
    <w:p>
      <w:pPr>
        <w:spacing w:after="0" w:line="140" w:lineRule="exact"/>
        <w:rPr>
          <w:sz w:val="20"/>
          <w:szCs w:val="20"/>
          <w:color w:val="auto"/>
        </w:rPr>
      </w:pPr>
    </w:p>
    <w:p>
      <w:pPr>
        <w:ind w:right="220" w:firstLine="445"/>
        <w:spacing w:after="0" w:line="266" w:lineRule="auto"/>
        <w:rPr>
          <w:sz w:val="20"/>
          <w:szCs w:val="20"/>
          <w:color w:val="auto"/>
        </w:rPr>
      </w:pPr>
      <w:r>
        <w:rPr>
          <w:rFonts w:ascii="Times New Roman" w:cs="Times New Roman" w:eastAsia="Times New Roman" w:hAnsi="Times New Roman"/>
          <w:sz w:val="18"/>
          <w:szCs w:val="18"/>
          <w:color w:val="auto"/>
        </w:rPr>
        <w:t>National television networks offer affiliates a variety of programming and sell the majority of advertising within those programs. In addition to network programs, we broadcast internally produced local and national programs, syndicated programs, sporting events and other programs of interest in each station's market. News is the primary focus of our locally produced programming.</w:t>
      </w:r>
    </w:p>
    <w:p>
      <w:pPr>
        <w:spacing w:after="0" w:line="149" w:lineRule="exact"/>
        <w:rPr>
          <w:sz w:val="20"/>
          <w:szCs w:val="20"/>
          <w:color w:val="auto"/>
        </w:rPr>
      </w:pPr>
    </w:p>
    <w:p>
      <w:pPr>
        <w:ind w:right="220" w:firstLine="405"/>
        <w:spacing w:after="0" w:line="266" w:lineRule="auto"/>
        <w:rPr>
          <w:sz w:val="20"/>
          <w:szCs w:val="20"/>
          <w:color w:val="auto"/>
        </w:rPr>
      </w:pPr>
      <w:r>
        <w:rPr>
          <w:rFonts w:ascii="Times New Roman" w:cs="Times New Roman" w:eastAsia="Times New Roman" w:hAnsi="Times New Roman"/>
          <w:sz w:val="18"/>
          <w:szCs w:val="18"/>
          <w:color w:val="auto"/>
        </w:rPr>
        <w:t>The operating performance of our Local Media group is most affected by local and national economic conditions, particularly conditions within the automotive and services categories, and by the volume of advertising purchased by campaigns for elective office and political issues. The demand for political advertising is significantly higher in the third and fourth quarters of even-numbered years.</w:t>
      </w:r>
    </w:p>
    <w:p>
      <w:pPr>
        <w:spacing w:after="0" w:line="13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Operating results for our Local Media segment were as follows: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60" w:type="dxa"/>
            <w:vAlign w:val="bottom"/>
            <w:gridSpan w:val="5"/>
          </w:tcPr>
          <w:p>
            <w:pPr>
              <w:jc w:val="right"/>
              <w:ind w:right="10"/>
              <w:spacing w:after="0"/>
              <w:rPr>
                <w:sz w:val="20"/>
                <w:szCs w:val="20"/>
                <w:color w:val="auto"/>
              </w:rPr>
            </w:pPr>
            <w:r>
              <w:rPr>
                <w:rFonts w:ascii="Times New Roman" w:cs="Times New Roman" w:eastAsia="Times New Roman" w:hAnsi="Times New Roman"/>
                <w:sz w:val="18"/>
                <w:szCs w:val="18"/>
                <w:color w:val="auto"/>
              </w:rPr>
              <w:t>Three Months Ended</w:t>
            </w: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120" w:type="dxa"/>
            <w:vAlign w:val="bottom"/>
            <w:gridSpan w:val="5"/>
          </w:tcPr>
          <w:p>
            <w:pPr>
              <w:jc w:val="center"/>
              <w:ind w:left="690"/>
              <w:spacing w:after="0"/>
              <w:rPr>
                <w:sz w:val="20"/>
                <w:szCs w:val="20"/>
                <w:color w:val="auto"/>
              </w:rPr>
            </w:pPr>
            <w:r>
              <w:rPr>
                <w:rFonts w:ascii="Times New Roman" w:cs="Times New Roman" w:eastAsia="Times New Roman" w:hAnsi="Times New Roman"/>
                <w:sz w:val="18"/>
                <w:szCs w:val="18"/>
                <w:color w:val="auto"/>
                <w:w w:val="99"/>
              </w:rPr>
              <w:t>Six Months Ended</w:t>
            </w: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37"/>
        </w:trPr>
        <w:tc>
          <w:tcPr>
            <w:tcW w:w="4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June 30,</w:t>
            </w:r>
          </w:p>
        </w:tc>
        <w:tc>
          <w:tcPr>
            <w:tcW w:w="2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gridSpan w:val="3"/>
          </w:tcPr>
          <w:p>
            <w:pPr>
              <w:jc w:val="center"/>
              <w:ind w:right="160"/>
              <w:spacing w:after="0"/>
              <w:rPr>
                <w:sz w:val="20"/>
                <w:szCs w:val="20"/>
                <w:color w:val="auto"/>
              </w:rPr>
            </w:pPr>
            <w:r>
              <w:rPr>
                <w:rFonts w:ascii="Times New Roman" w:cs="Times New Roman" w:eastAsia="Times New Roman" w:hAnsi="Times New Roman"/>
                <w:sz w:val="18"/>
                <w:szCs w:val="18"/>
                <w:color w:val="auto"/>
                <w:w w:val="99"/>
              </w:rPr>
              <w:t>June 30,</w:t>
            </w:r>
          </w:p>
        </w:tc>
        <w:tc>
          <w:tcPr>
            <w:tcW w:w="2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r>
      <w:tr>
        <w:trPr>
          <w:trHeight w:val="229"/>
        </w:trPr>
        <w:tc>
          <w:tcPr>
            <w:tcW w:w="4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220" w:type="dxa"/>
            <w:vAlign w:val="bottom"/>
          </w:tcPr>
          <w:p>
            <w:pPr>
              <w:spacing w:after="0"/>
              <w:rPr>
                <w:sz w:val="19"/>
                <w:szCs w:val="19"/>
                <w:color w:val="auto"/>
              </w:rPr>
            </w:pPr>
          </w:p>
        </w:tc>
        <w:tc>
          <w:tcPr>
            <w:tcW w:w="78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2025</w:t>
            </w:r>
          </w:p>
        </w:tc>
        <w:tc>
          <w:tcPr>
            <w:tcW w:w="120" w:type="dxa"/>
            <w:vAlign w:val="bottom"/>
          </w:tcPr>
          <w:p>
            <w:pPr>
              <w:spacing w:after="0"/>
              <w:rPr>
                <w:sz w:val="19"/>
                <w:szCs w:val="19"/>
                <w:color w:val="auto"/>
              </w:rPr>
            </w:pPr>
          </w:p>
        </w:tc>
        <w:tc>
          <w:tcPr>
            <w:tcW w:w="11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Change</w:t>
            </w:r>
          </w:p>
        </w:tc>
        <w:tc>
          <w:tcPr>
            <w:tcW w:w="220" w:type="dxa"/>
            <w:vAlign w:val="bottom"/>
          </w:tcPr>
          <w:p>
            <w:pPr>
              <w:spacing w:after="0"/>
              <w:rPr>
                <w:sz w:val="19"/>
                <w:szCs w:val="19"/>
                <w:color w:val="auto"/>
              </w:rPr>
            </w:pPr>
          </w:p>
        </w:tc>
        <w:tc>
          <w:tcPr>
            <w:tcW w:w="78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2024</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tcPr>
          <w:p>
            <w:pPr>
              <w:spacing w:after="0"/>
              <w:rPr>
                <w:sz w:val="19"/>
                <w:szCs w:val="19"/>
                <w:color w:val="auto"/>
              </w:rPr>
            </w:pPr>
          </w:p>
        </w:tc>
        <w:tc>
          <w:tcPr>
            <w:tcW w:w="116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Change</w:t>
            </w:r>
          </w:p>
        </w:tc>
        <w:tc>
          <w:tcPr>
            <w:tcW w:w="200" w:type="dxa"/>
            <w:vAlign w:val="bottom"/>
          </w:tcPr>
          <w:p>
            <w:pPr>
              <w:spacing w:after="0"/>
              <w:rPr>
                <w:sz w:val="19"/>
                <w:szCs w:val="19"/>
                <w:color w:val="auto"/>
              </w:rPr>
            </w:pPr>
          </w:p>
        </w:tc>
        <w:tc>
          <w:tcPr>
            <w:tcW w:w="84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2024</w:t>
            </w:r>
          </w:p>
        </w:tc>
      </w:tr>
      <w:tr>
        <w:trPr>
          <w:trHeight w:val="34"/>
        </w:trPr>
        <w:tc>
          <w:tcPr>
            <w:tcW w:w="43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78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78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86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840" w:type="dxa"/>
            <w:vAlign w:val="bottom"/>
            <w:tcBorders>
              <w:top w:val="single" w:sz="8" w:color="auto"/>
            </w:tcBorders>
          </w:tcPr>
          <w:p>
            <w:pPr>
              <w:spacing w:after="0"/>
              <w:rPr>
                <w:sz w:val="2"/>
                <w:szCs w:val="2"/>
                <w:color w:val="auto"/>
              </w:rPr>
            </w:pPr>
          </w:p>
        </w:tc>
      </w:tr>
      <w:tr>
        <w:trPr>
          <w:trHeight w:val="229"/>
        </w:trPr>
        <w:tc>
          <w:tcPr>
            <w:tcW w:w="4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operating revenues:</w:t>
            </w: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30"/>
        </w:trPr>
        <w:tc>
          <w:tcPr>
            <w:tcW w:w="44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Core advertising</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136,529</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139,106</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268,675</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275,549</w:t>
            </w:r>
          </w:p>
        </w:tc>
      </w:tr>
      <w:tr>
        <w:trPr>
          <w:trHeight w:val="229"/>
        </w:trPr>
        <w:tc>
          <w:tcPr>
            <w:tcW w:w="44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Political</w:t>
            </w: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2,624</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28,151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5,887</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(86.4)%</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43,317</w:t>
            </w:r>
          </w:p>
        </w:tc>
      </w:tr>
      <w:tr>
        <w:trPr>
          <w:trHeight w:val="229"/>
        </w:trPr>
        <w:tc>
          <w:tcPr>
            <w:tcW w:w="44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Distribution</w:t>
            </w: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192,613</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194,191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379,804</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391,690</w:t>
            </w:r>
          </w:p>
        </w:tc>
      </w:tr>
      <w:tr>
        <w:trPr>
          <w:trHeight w:val="230"/>
        </w:trPr>
        <w:tc>
          <w:tcPr>
            <w:tcW w:w="44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3,478</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5,789</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12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7,206</w:t>
            </w:r>
          </w:p>
        </w:tc>
      </w:tr>
      <w:tr>
        <w:trPr>
          <w:trHeight w:val="223"/>
        </w:trPr>
        <w:tc>
          <w:tcPr>
            <w:tcW w:w="44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Total operating revenues</w:t>
            </w: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334,766</w:t>
            </w:r>
          </w:p>
        </w:tc>
        <w:tc>
          <w:tcPr>
            <w:tcW w:w="11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364,926</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660,155</w:t>
            </w:r>
          </w:p>
        </w:tc>
        <w:tc>
          <w:tcPr>
            <w:tcW w:w="112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2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717,762</w:t>
            </w:r>
          </w:p>
        </w:tc>
      </w:tr>
      <w:tr>
        <w:trPr>
          <w:trHeight w:val="210"/>
        </w:trPr>
        <w:tc>
          <w:tcPr>
            <w:tcW w:w="4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costs and expenses:</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r>
      <w:tr>
        <w:trPr>
          <w:trHeight w:val="229"/>
        </w:trPr>
        <w:tc>
          <w:tcPr>
            <w:tcW w:w="44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Employee compensation and benefits</w:t>
            </w: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104,315</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105,569</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209,484</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212,295</w:t>
            </w:r>
          </w:p>
        </w:tc>
      </w:tr>
      <w:tr>
        <w:trPr>
          <w:trHeight w:val="230"/>
        </w:trPr>
        <w:tc>
          <w:tcPr>
            <w:tcW w:w="44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Programming</w:t>
            </w: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129,153</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4.9 %</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123,112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268,850</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5.9 %</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253,856</w:t>
            </w:r>
          </w:p>
        </w:tc>
      </w:tr>
      <w:tr>
        <w:trPr>
          <w:trHeight w:val="230"/>
        </w:trPr>
        <w:tc>
          <w:tcPr>
            <w:tcW w:w="448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8"/>
                <w:szCs w:val="18"/>
                <w:color w:val="auto"/>
              </w:rPr>
              <w:t>Other expenses</w:t>
            </w: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45,477</w:t>
            </w:r>
          </w:p>
        </w:tc>
        <w:tc>
          <w:tcPr>
            <w:tcW w:w="11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48,115</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91,081</w:t>
            </w:r>
          </w:p>
        </w:tc>
        <w:tc>
          <w:tcPr>
            <w:tcW w:w="112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2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97,925</w:t>
            </w:r>
          </w:p>
        </w:tc>
      </w:tr>
      <w:tr>
        <w:trPr>
          <w:trHeight w:val="223"/>
        </w:trPr>
        <w:tc>
          <w:tcPr>
            <w:tcW w:w="4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costs and expenses</w:t>
            </w:r>
          </w:p>
        </w:tc>
        <w:tc>
          <w:tcPr>
            <w:tcW w:w="2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278,945</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0.8 %</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276,796</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569,415</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0.9 %</w:t>
            </w:r>
          </w:p>
        </w:tc>
        <w:tc>
          <w:tcPr>
            <w:tcW w:w="12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564,076</w:t>
            </w:r>
          </w:p>
        </w:tc>
      </w:tr>
      <w:tr>
        <w:trPr>
          <w:trHeight w:val="223"/>
        </w:trPr>
        <w:tc>
          <w:tcPr>
            <w:tcW w:w="4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Segment profit</w:t>
            </w: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55,821</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(36.7)%</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88,130</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90,740</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(41.0)%</w:t>
            </w:r>
          </w:p>
        </w:tc>
        <w:tc>
          <w:tcPr>
            <w:tcW w:w="1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153,686</w:t>
            </w:r>
          </w:p>
        </w:tc>
      </w:tr>
      <w:tr>
        <w:trPr>
          <w:trHeight w:val="20"/>
        </w:trPr>
        <w:tc>
          <w:tcPr>
            <w:tcW w:w="4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Revenues</w:t>
      </w:r>
    </w:p>
    <w:p>
      <w:pPr>
        <w:spacing w:after="0" w:line="256" w:lineRule="exact"/>
        <w:rPr>
          <w:sz w:val="20"/>
          <w:szCs w:val="20"/>
          <w:color w:val="auto"/>
        </w:rPr>
      </w:pPr>
    </w:p>
    <w:p>
      <w:pPr>
        <w:ind w:right="140" w:firstLine="405"/>
        <w:spacing w:after="0" w:line="269" w:lineRule="auto"/>
        <w:rPr>
          <w:sz w:val="20"/>
          <w:szCs w:val="20"/>
          <w:color w:val="auto"/>
        </w:rPr>
      </w:pPr>
      <w:r>
        <w:rPr>
          <w:rFonts w:ascii="Times New Roman" w:cs="Times New Roman" w:eastAsia="Times New Roman" w:hAnsi="Times New Roman"/>
          <w:sz w:val="17"/>
          <w:szCs w:val="17"/>
          <w:color w:val="auto"/>
        </w:rPr>
        <w:t>Total Local Media revenues decreased $30.2 million or 8.3% in the second quarter of 2025 and $57.6 million or 8.0% in the first six months of 2025 when compared to prior periods. During this non-election year, political revenues decreased $25.5 million in the second quarter of 2025 and $37.4 million in the first six months of 2025 when compared to prior periods. Distribution revenues decreased $1.6 million or 0.8% in the second quarter of 2025 and $11.9 million or 3.0% in the first six months of 2025 when compared to prior periods. Distribution revenues were unfavorably impacted by high-single-digit subscriber declines. These subscriber declines were partially offset by rate increases which favorably impacted distribution revenues by 7.8% and</w:t>
      </w:r>
    </w:p>
    <w:p>
      <w:pPr>
        <w:spacing w:after="0" w:line="3" w:lineRule="exact"/>
        <w:rPr>
          <w:sz w:val="20"/>
          <w:szCs w:val="20"/>
          <w:color w:val="auto"/>
        </w:rPr>
      </w:pPr>
    </w:p>
    <w:p>
      <w:pPr>
        <w:jc w:val="both"/>
        <w:ind w:right="240"/>
        <w:spacing w:after="0" w:line="253" w:lineRule="auto"/>
        <w:rPr>
          <w:sz w:val="20"/>
          <w:szCs w:val="20"/>
          <w:color w:val="auto"/>
        </w:rPr>
      </w:pPr>
      <w:r>
        <w:rPr>
          <w:rFonts w:ascii="Times New Roman" w:cs="Times New Roman" w:eastAsia="Times New Roman" w:hAnsi="Times New Roman"/>
          <w:sz w:val="18"/>
          <w:szCs w:val="18"/>
          <w:color w:val="auto"/>
        </w:rPr>
        <w:t>5.7% in the quarter-to-date and year-to-date periods, respectively. During the second quarter of 2025, we completed renewal negotiations on distribution agreements covering approximately 25% of our subscriber households. These renewal rates were effective as of March 31, 2025. Local Media revenues were also impacted by a decrease in core advertising revenues of $2.6 million or 1.9% in the second quarter of 2025 and $6.9 million or 2.5% in the first six months of 2025 when compared to prior periods.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Costs and expenses</w:t>
      </w:r>
    </w:p>
    <w:p>
      <w:pPr>
        <w:spacing w:after="0" w:line="256" w:lineRule="exact"/>
        <w:rPr>
          <w:sz w:val="20"/>
          <w:szCs w:val="20"/>
          <w:color w:val="auto"/>
        </w:rPr>
      </w:pPr>
    </w:p>
    <w:p>
      <w:pPr>
        <w:ind w:right="40" w:firstLine="405"/>
        <w:spacing w:after="0" w:line="282" w:lineRule="auto"/>
        <w:rPr>
          <w:sz w:val="20"/>
          <w:szCs w:val="20"/>
          <w:color w:val="auto"/>
        </w:rPr>
      </w:pPr>
      <w:r>
        <w:rPr>
          <w:rFonts w:ascii="Times New Roman" w:cs="Times New Roman" w:eastAsia="Times New Roman" w:hAnsi="Times New Roman"/>
          <w:sz w:val="18"/>
          <w:szCs w:val="18"/>
          <w:color w:val="auto"/>
        </w:rPr>
        <w:t>Employee compensation and benefits decreased $1.3 million or 1.2% in the second quarter of 2025 and $2.8 million or 1.3% in the first six months of 2025 when compared to prior periods due to savings achieved through our restructuring efforts.</w:t>
      </w:r>
    </w:p>
    <w:p>
      <w:pPr>
        <w:spacing w:after="0" w:line="189" w:lineRule="exact"/>
        <w:rPr>
          <w:sz w:val="20"/>
          <w:szCs w:val="20"/>
          <w:color w:val="auto"/>
        </w:rPr>
      </w:pPr>
    </w:p>
    <w:p>
      <w:pPr>
        <w:ind w:right="60" w:firstLine="405"/>
        <w:spacing w:after="0" w:line="261" w:lineRule="auto"/>
        <w:rPr>
          <w:sz w:val="20"/>
          <w:szCs w:val="20"/>
          <w:color w:val="auto"/>
        </w:rPr>
      </w:pPr>
      <w:r>
        <w:rPr>
          <w:rFonts w:ascii="Times New Roman" w:cs="Times New Roman" w:eastAsia="Times New Roman" w:hAnsi="Times New Roman"/>
          <w:sz w:val="18"/>
          <w:szCs w:val="18"/>
          <w:color w:val="auto"/>
        </w:rPr>
        <w:t>Programming expense increased $6.0 million or 4.9% in the second quarter of 2025 and $15.0 million or 5.9% in the first six months of 2025 when compared to prior periods. During 2025, we entered into a sports rights contract for the airing of games for the Women's National Basketball Association's Las Vegas Aces ("Aces"), which began with the start of the regular season in May 2025. During 2024, we entered into a sports rights contract for the airing of games for the National Hockey</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36" w:name="page37"/>
    <w:bookmarkEnd w:id="36"/>
    <w:p>
      <w:pPr>
        <w:ind w:right="20"/>
        <w:spacing w:after="0" w:line="266" w:lineRule="auto"/>
        <w:rPr>
          <w:sz w:val="20"/>
          <w:szCs w:val="20"/>
          <w:color w:val="auto"/>
        </w:rPr>
      </w:pPr>
      <w:r>
        <w:rPr>
          <w:rFonts w:ascii="Times New Roman" w:cs="Times New Roman" w:eastAsia="Times New Roman" w:hAnsi="Times New Roman"/>
          <w:sz w:val="18"/>
          <w:szCs w:val="18"/>
          <w:color w:val="auto"/>
        </w:rPr>
        <w:t>League's Florida Panthers ("Panthers"), which began with the 2024-2025 season in October 2024. Costs attributed to these sports rights agreements, as well as contractual rate increases for the Vegas Golden Knights and Utah Hockey Club (formerly the Arizona Coyotes) agreements increased programming expense by $4.8 million and $13.6 million in the quarter-to-date and year-to-date periods, respectively.</w:t>
      </w:r>
    </w:p>
    <w:p>
      <w:pPr>
        <w:spacing w:after="0" w:line="203" w:lineRule="exact"/>
        <w:rPr>
          <w:sz w:val="20"/>
          <w:szCs w:val="20"/>
          <w:color w:val="auto"/>
        </w:rPr>
      </w:pPr>
    </w:p>
    <w:p>
      <w:pPr>
        <w:ind w:right="40" w:firstLine="405"/>
        <w:spacing w:after="0" w:line="266" w:lineRule="auto"/>
        <w:rPr>
          <w:sz w:val="20"/>
          <w:szCs w:val="20"/>
          <w:color w:val="auto"/>
        </w:rPr>
      </w:pPr>
      <w:r>
        <w:rPr>
          <w:rFonts w:ascii="Times New Roman" w:cs="Times New Roman" w:eastAsia="Times New Roman" w:hAnsi="Times New Roman"/>
          <w:sz w:val="18"/>
          <w:szCs w:val="18"/>
          <w:color w:val="auto"/>
        </w:rPr>
        <w:t>Other expenses decreased $2.6 million or 5.5% in the second quarter of 2025 and $6.8 million or 7.0% in the first six months of 2025 when compared to prior periods. National sales commissions decreased $1.1 million and $2.5 million in the quarter-to-date and year-to-date periods, respectively. Facility costs decreased $1.6 million and $3.5 million in the quarter-to-date and year-to-date periods, respectively.</w:t>
      </w:r>
    </w:p>
    <w:p>
      <w:pPr>
        <w:spacing w:after="0" w:line="199" w:lineRule="exact"/>
        <w:rPr>
          <w:sz w:val="20"/>
          <w:szCs w:val="20"/>
          <w:color w:val="auto"/>
        </w:rPr>
      </w:pPr>
    </w:p>
    <w:p>
      <w:pPr>
        <w:jc w:val="both"/>
        <w:ind w:right="14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Scripps Networks </w:t>
      </w:r>
      <w:r>
        <w:rPr>
          <w:rFonts w:ascii="Times New Roman" w:cs="Times New Roman" w:eastAsia="Times New Roman" w:hAnsi="Times New Roman"/>
          <w:sz w:val="18"/>
          <w:szCs w:val="18"/>
          <w:color w:val="auto"/>
        </w:rPr>
        <w:t>— Our Scripps Networks segment includes national news outlets Scripps News and Court TV and popular entertainment brands 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Bounce, Grit, ION Mystery, ION Plus and Laff. The networks reach nearly every U.S. television home through free over-the-air broadcast, cable/satellite, connected TV and/or digital distribution. Our Scripps Networks segment earns revenue primarily through the sale of advertising. The advertising received by our national networks can be subject to seasonal and cyclical variations and is most impacted by national economic conditions.</w:t>
      </w:r>
    </w:p>
    <w:p>
      <w:pPr>
        <w:spacing w:after="0" w:line="14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Operating results for our Scripps Networks segment were as follows: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40" w:type="dxa"/>
            <w:vAlign w:val="bottom"/>
            <w:gridSpan w:val="5"/>
          </w:tcPr>
          <w:p>
            <w:pPr>
              <w:jc w:val="center"/>
              <w:ind w:left="430"/>
              <w:spacing w:after="0"/>
              <w:rPr>
                <w:sz w:val="20"/>
                <w:szCs w:val="20"/>
                <w:color w:val="auto"/>
              </w:rPr>
            </w:pPr>
            <w:r>
              <w:rPr>
                <w:rFonts w:ascii="Times New Roman" w:cs="Times New Roman" w:eastAsia="Times New Roman" w:hAnsi="Times New Roman"/>
                <w:sz w:val="18"/>
                <w:szCs w:val="18"/>
                <w:color w:val="auto"/>
                <w:w w:val="99"/>
              </w:rPr>
              <w:t>Three Months Ended</w:t>
            </w: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560" w:type="dxa"/>
            <w:vAlign w:val="bottom"/>
            <w:gridSpan w:val="5"/>
          </w:tcPr>
          <w:p>
            <w:pPr>
              <w:jc w:val="center"/>
              <w:ind w:right="130"/>
              <w:spacing w:after="0"/>
              <w:rPr>
                <w:sz w:val="20"/>
                <w:szCs w:val="20"/>
                <w:color w:val="auto"/>
              </w:rPr>
            </w:pPr>
            <w:r>
              <w:rPr>
                <w:rFonts w:ascii="Times New Roman" w:cs="Times New Roman" w:eastAsia="Times New Roman" w:hAnsi="Times New Roman"/>
                <w:sz w:val="18"/>
                <w:szCs w:val="18"/>
                <w:color w:val="auto"/>
                <w:w w:val="99"/>
              </w:rPr>
              <w:t>Six Months Ended</w:t>
            </w:r>
          </w:p>
        </w:tc>
        <w:tc>
          <w:tcPr>
            <w:tcW w:w="840" w:type="dxa"/>
            <w:vAlign w:val="bottom"/>
          </w:tcPr>
          <w:p>
            <w:pPr>
              <w:spacing w:after="0"/>
              <w:rPr>
                <w:sz w:val="17"/>
                <w:szCs w:val="17"/>
                <w:color w:val="auto"/>
              </w:rPr>
            </w:pPr>
          </w:p>
        </w:tc>
      </w:tr>
      <w:tr>
        <w:trPr>
          <w:trHeight w:val="236"/>
        </w:trPr>
        <w:tc>
          <w:tcPr>
            <w:tcW w:w="4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6"/>
              </w:rPr>
              <w:t>June 30,</w:t>
            </w:r>
          </w:p>
        </w:tc>
        <w:tc>
          <w:tcPr>
            <w:tcW w:w="2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June 30,</w:t>
            </w:r>
          </w:p>
        </w:tc>
        <w:tc>
          <w:tcPr>
            <w:tcW w:w="2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r>
      <w:tr>
        <w:trPr>
          <w:trHeight w:val="230"/>
        </w:trPr>
        <w:tc>
          <w:tcPr>
            <w:tcW w:w="4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220" w:type="dxa"/>
            <w:vAlign w:val="bottom"/>
          </w:tcPr>
          <w:p>
            <w:pPr>
              <w:spacing w:after="0"/>
              <w:rPr>
                <w:sz w:val="19"/>
                <w:szCs w:val="19"/>
                <w:color w:val="auto"/>
              </w:rPr>
            </w:pPr>
          </w:p>
        </w:tc>
        <w:tc>
          <w:tcPr>
            <w:tcW w:w="78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2025</w:t>
            </w:r>
          </w:p>
        </w:tc>
        <w:tc>
          <w:tcPr>
            <w:tcW w:w="120" w:type="dxa"/>
            <w:vAlign w:val="bottom"/>
          </w:tcPr>
          <w:p>
            <w:pPr>
              <w:spacing w:after="0"/>
              <w:rPr>
                <w:sz w:val="19"/>
                <w:szCs w:val="19"/>
                <w:color w:val="auto"/>
              </w:rPr>
            </w:pPr>
          </w:p>
        </w:tc>
        <w:tc>
          <w:tcPr>
            <w:tcW w:w="11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8"/>
              </w:rPr>
              <w:t>Change</w:t>
            </w:r>
          </w:p>
        </w:tc>
        <w:tc>
          <w:tcPr>
            <w:tcW w:w="200" w:type="dxa"/>
            <w:vAlign w:val="bottom"/>
          </w:tcPr>
          <w:p>
            <w:pPr>
              <w:spacing w:after="0"/>
              <w:rPr>
                <w:sz w:val="19"/>
                <w:szCs w:val="19"/>
                <w:color w:val="auto"/>
              </w:rPr>
            </w:pPr>
          </w:p>
        </w:tc>
        <w:tc>
          <w:tcPr>
            <w:tcW w:w="78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2024</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2025</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Change</w:t>
            </w:r>
          </w:p>
        </w:tc>
        <w:tc>
          <w:tcPr>
            <w:tcW w:w="240" w:type="dxa"/>
            <w:vAlign w:val="bottom"/>
          </w:tcPr>
          <w:p>
            <w:pPr>
              <w:spacing w:after="0"/>
              <w:rPr>
                <w:sz w:val="19"/>
                <w:szCs w:val="19"/>
                <w:color w:val="auto"/>
              </w:rPr>
            </w:pPr>
          </w:p>
        </w:tc>
        <w:tc>
          <w:tcPr>
            <w:tcW w:w="84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2024</w:t>
            </w:r>
          </w:p>
        </w:tc>
      </w:tr>
      <w:tr>
        <w:trPr>
          <w:trHeight w:val="34"/>
        </w:trPr>
        <w:tc>
          <w:tcPr>
            <w:tcW w:w="43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78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78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top w:val="single" w:sz="8" w:color="auto"/>
            </w:tcBorders>
          </w:tcPr>
          <w:p>
            <w:pPr>
              <w:spacing w:after="0"/>
              <w:rPr>
                <w:sz w:val="2"/>
                <w:szCs w:val="2"/>
                <w:color w:val="auto"/>
              </w:rPr>
            </w:pPr>
          </w:p>
        </w:tc>
        <w:tc>
          <w:tcPr>
            <w:tcW w:w="760" w:type="dxa"/>
            <w:vAlign w:val="bottom"/>
            <w:tcBorders>
              <w:top w:val="single" w:sz="8" w:color="auto"/>
            </w:tcBorders>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top w:val="single" w:sz="8" w:color="auto"/>
            </w:tcBorders>
          </w:tcPr>
          <w:p>
            <w:pPr>
              <w:spacing w:after="0"/>
              <w:rPr>
                <w:sz w:val="2"/>
                <w:szCs w:val="2"/>
                <w:color w:val="auto"/>
              </w:rPr>
            </w:pPr>
          </w:p>
        </w:tc>
        <w:tc>
          <w:tcPr>
            <w:tcW w:w="840" w:type="dxa"/>
            <w:vAlign w:val="bottom"/>
            <w:tcBorders>
              <w:top w:val="single" w:sz="8" w:color="auto"/>
            </w:tcBorders>
          </w:tcPr>
          <w:p>
            <w:pPr>
              <w:spacing w:after="0"/>
              <w:rPr>
                <w:sz w:val="2"/>
                <w:szCs w:val="2"/>
                <w:color w:val="auto"/>
              </w:rPr>
            </w:pPr>
          </w:p>
        </w:tc>
      </w:tr>
      <w:tr>
        <w:trPr>
          <w:trHeight w:val="229"/>
        </w:trPr>
        <w:tc>
          <w:tcPr>
            <w:tcW w:w="4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operating revenues</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205,765</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208,720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403,772</w:t>
            </w:r>
          </w:p>
        </w:tc>
        <w:tc>
          <w:tcPr>
            <w:tcW w:w="12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417,998</w:t>
            </w:r>
          </w:p>
        </w:tc>
      </w:tr>
      <w:tr>
        <w:trPr>
          <w:trHeight w:val="209"/>
        </w:trPr>
        <w:tc>
          <w:tcPr>
            <w:tcW w:w="4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Segment costs and expenses:</w:t>
            </w:r>
          </w:p>
        </w:tc>
        <w:tc>
          <w:tcPr>
            <w:tcW w:w="2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r>
      <w:tr>
        <w:trPr>
          <w:trHeight w:val="230"/>
        </w:trPr>
        <w:tc>
          <w:tcPr>
            <w:tcW w:w="44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Employee compensation and benefits</w:t>
            </w: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21,956</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29,781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42,829</w:t>
            </w:r>
          </w:p>
        </w:tc>
        <w:tc>
          <w:tcPr>
            <w:tcW w:w="12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59,762</w:t>
            </w:r>
          </w:p>
        </w:tc>
      </w:tr>
      <w:tr>
        <w:trPr>
          <w:trHeight w:val="229"/>
        </w:trPr>
        <w:tc>
          <w:tcPr>
            <w:tcW w:w="44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Programming</w:t>
            </w: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88,837</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98,474</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165,247</w:t>
            </w:r>
          </w:p>
        </w:tc>
        <w:tc>
          <w:tcPr>
            <w:tcW w:w="12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187,636</w:t>
            </w:r>
          </w:p>
        </w:tc>
      </w:tr>
      <w:tr>
        <w:trPr>
          <w:trHeight w:val="230"/>
        </w:trPr>
        <w:tc>
          <w:tcPr>
            <w:tcW w:w="44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expenses</w:t>
            </w: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39,024</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42,718</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75,655</w:t>
            </w:r>
          </w:p>
        </w:tc>
        <w:tc>
          <w:tcPr>
            <w:tcW w:w="12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83,199</w:t>
            </w:r>
          </w:p>
        </w:tc>
      </w:tr>
      <w:tr>
        <w:trPr>
          <w:trHeight w:val="223"/>
        </w:trPr>
        <w:tc>
          <w:tcPr>
            <w:tcW w:w="44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Total costs and expenses</w:t>
            </w:r>
          </w:p>
        </w:tc>
        <w:tc>
          <w:tcPr>
            <w:tcW w:w="22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149,817</w:t>
            </w:r>
          </w:p>
        </w:tc>
        <w:tc>
          <w:tcPr>
            <w:tcW w:w="114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12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170,973</w:t>
            </w:r>
          </w:p>
        </w:tc>
        <w:tc>
          <w:tcPr>
            <w:tcW w:w="12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283,731</w:t>
            </w:r>
          </w:p>
        </w:tc>
        <w:tc>
          <w:tcPr>
            <w:tcW w:w="80" w:type="dxa"/>
            <w:vAlign w:val="bottom"/>
            <w:tcBorders>
              <w:top w:val="single" w:sz="8" w:color="auto"/>
              <w:bottom w:val="single" w:sz="8" w:color="auto"/>
            </w:tcBorders>
          </w:tcPr>
          <w:p>
            <w:pPr>
              <w:spacing w:after="0"/>
              <w:rPr>
                <w:sz w:val="19"/>
                <w:szCs w:val="19"/>
                <w:color w:val="auto"/>
              </w:rPr>
            </w:pPr>
          </w:p>
        </w:tc>
        <w:tc>
          <w:tcPr>
            <w:tcW w:w="114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10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330,597</w:t>
            </w:r>
          </w:p>
        </w:tc>
      </w:tr>
      <w:tr>
        <w:trPr>
          <w:trHeight w:val="243"/>
        </w:trPr>
        <w:tc>
          <w:tcPr>
            <w:tcW w:w="4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profit</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55,948</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48.2 %</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37,747</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120,041</w:t>
            </w:r>
          </w:p>
        </w:tc>
        <w:tc>
          <w:tcPr>
            <w:tcW w:w="12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37.3 %</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87,401</w:t>
            </w:r>
          </w:p>
        </w:tc>
      </w:tr>
      <w:tr>
        <w:trPr>
          <w:trHeight w:val="20"/>
        </w:trPr>
        <w:tc>
          <w:tcPr>
            <w:tcW w:w="43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Revenues</w:t>
      </w:r>
    </w:p>
    <w:p>
      <w:pPr>
        <w:spacing w:after="0" w:line="256" w:lineRule="exact"/>
        <w:rPr>
          <w:sz w:val="20"/>
          <w:szCs w:val="20"/>
          <w:color w:val="auto"/>
        </w:rPr>
      </w:pPr>
    </w:p>
    <w:p>
      <w:pPr>
        <w:ind w:right="40" w:firstLine="405"/>
        <w:spacing w:after="0" w:line="255" w:lineRule="auto"/>
        <w:rPr>
          <w:sz w:val="20"/>
          <w:szCs w:val="20"/>
          <w:color w:val="auto"/>
        </w:rPr>
      </w:pPr>
      <w:r>
        <w:rPr>
          <w:rFonts w:ascii="Times New Roman" w:cs="Times New Roman" w:eastAsia="Times New Roman" w:hAnsi="Times New Roman"/>
          <w:sz w:val="18"/>
          <w:szCs w:val="18"/>
          <w:color w:val="auto"/>
        </w:rPr>
        <w:t>Scripps Networks revenues, which are primarily comprised of advertising revenues, decreased $3.0 million or 1.4% in the second quarter of 2025 and $14.2 million or 3.4% in the first six months of 2025 when compared to prior periods. The amount of advertising revenue we earn is a function of the pricing negotiated with advertisers, the number of advertising spots sold and the audience impressions delivered. Lower ratings in our key monetized demographics unfavorably impacted Scripps Networks revenues by 8.3% and 7.7% in the quarter-to-date and year-to-date periods, respectively. Lower ratings were partially offset by an increase in connected TV ("CTV") revenue and an increase in advertising spots sold. Higher CTV revenue increased revenues by 5.6% and 4.7% in the quarter-to-date and year-to-date periods, respectively. An increase in advertising spots sold increased revenues by 2.4% and 1.2% in the quarter-to-date and year-to-date periods, respectively.</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Costs and expenses</w:t>
      </w:r>
    </w:p>
    <w:p>
      <w:pPr>
        <w:spacing w:after="0" w:line="256" w:lineRule="exact"/>
        <w:rPr>
          <w:sz w:val="20"/>
          <w:szCs w:val="20"/>
          <w:color w:val="auto"/>
        </w:rPr>
      </w:pPr>
    </w:p>
    <w:p>
      <w:pPr>
        <w:ind w:right="160" w:firstLine="405"/>
        <w:spacing w:after="0" w:line="261" w:lineRule="auto"/>
        <w:rPr>
          <w:sz w:val="20"/>
          <w:szCs w:val="20"/>
          <w:color w:val="auto"/>
        </w:rPr>
      </w:pPr>
      <w:r>
        <w:rPr>
          <w:rFonts w:ascii="Times New Roman" w:cs="Times New Roman" w:eastAsia="Times New Roman" w:hAnsi="Times New Roman"/>
          <w:sz w:val="18"/>
          <w:szCs w:val="18"/>
          <w:color w:val="auto"/>
        </w:rPr>
        <w:t>Employee compensation and benefits decreased $7.8 million or 26% in the second quarter of 2025 and $16.9 million or 28% for the first six months of 2025 when compared to prior periods. In the fourth quarter of 2024, we shut down the over-the-air broadcast for Scripps News. The savings achieved from this Scripps News action and other restructuring efforts were the primary contributor to the year-over-year decrease in employee compensation and benefits.</w:t>
      </w:r>
    </w:p>
    <w:p>
      <w:pPr>
        <w:spacing w:after="0" w:line="207" w:lineRule="exact"/>
        <w:rPr>
          <w:sz w:val="20"/>
          <w:szCs w:val="20"/>
          <w:color w:val="auto"/>
        </w:rPr>
      </w:pPr>
    </w:p>
    <w:p>
      <w:pPr>
        <w:ind w:right="160" w:firstLine="405"/>
        <w:spacing w:after="0" w:line="266" w:lineRule="auto"/>
        <w:rPr>
          <w:sz w:val="20"/>
          <w:szCs w:val="20"/>
          <w:color w:val="auto"/>
        </w:rPr>
      </w:pPr>
      <w:r>
        <w:rPr>
          <w:rFonts w:ascii="Times New Roman" w:cs="Times New Roman" w:eastAsia="Times New Roman" w:hAnsi="Times New Roman"/>
          <w:sz w:val="18"/>
          <w:szCs w:val="18"/>
          <w:color w:val="auto"/>
        </w:rPr>
        <w:t>Programming expense decreased $9.6 million or 9.8% in the second quarter of 2025 and $22.4 million or 12% for the first six months of 2025 when compared to prior periods. Carriage affiliation fees decreased $3.7 million and $8.2 million in the quarter-to-date and year-to-date periods, respectively. Syndicated programming costs decreased $6.0 million and $14.1 million in the quarter-to-date and year-to-date periods, respectively.</w:t>
      </w:r>
    </w:p>
    <w:p>
      <w:pPr>
        <w:spacing w:after="0" w:line="203" w:lineRule="exact"/>
        <w:rPr>
          <w:sz w:val="20"/>
          <w:szCs w:val="20"/>
          <w:color w:val="auto"/>
        </w:rPr>
      </w:pPr>
    </w:p>
    <w:p>
      <w:pPr>
        <w:ind w:right="80" w:firstLine="405"/>
        <w:spacing w:after="0" w:line="261" w:lineRule="auto"/>
        <w:rPr>
          <w:sz w:val="20"/>
          <w:szCs w:val="20"/>
          <w:color w:val="auto"/>
        </w:rPr>
      </w:pPr>
      <w:r>
        <w:rPr>
          <w:rFonts w:ascii="Times New Roman" w:cs="Times New Roman" w:eastAsia="Times New Roman" w:hAnsi="Times New Roman"/>
          <w:sz w:val="18"/>
          <w:szCs w:val="18"/>
          <w:color w:val="auto"/>
        </w:rPr>
        <w:t>Other expenses decreased $3.7 million or 8.6% in the second quarter of 2025 and $7.5 million or 9.1% for the first six months of 2025 when compared to prior periods. The shut down of the over-the-air broadcast for Scripps News accounted for $1.8 million and $3.0 million of the quarter-to-date and year-to-date decreases, respectively. Other expenses also decreased due to lower national sales commissions of $0.5 million and $1.6 million in the quarter-to-date and year-to-date periods, respectively.</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56" w:lineRule="exact"/>
        <w:rPr>
          <w:sz w:val="20"/>
          <w:szCs w:val="20"/>
          <w:color w:val="auto"/>
        </w:rPr>
      </w:pPr>
    </w:p>
    <w:p>
      <w:pPr>
        <w:ind w:right="180" w:firstLine="405"/>
        <w:spacing w:after="0" w:line="258" w:lineRule="auto"/>
        <w:rPr>
          <w:sz w:val="20"/>
          <w:szCs w:val="20"/>
          <w:color w:val="auto"/>
        </w:rPr>
      </w:pPr>
      <w:r>
        <w:rPr>
          <w:rFonts w:ascii="Times New Roman" w:cs="Times New Roman" w:eastAsia="Times New Roman" w:hAnsi="Times New Roman"/>
          <w:sz w:val="18"/>
          <w:szCs w:val="18"/>
          <w:color w:val="auto"/>
        </w:rPr>
        <w:t>On April 10, 2025, we completed a series of previously announced refinancing transactions, which included replacing our $585 million revolving credit facility with a new $208 million revolving credit facility, maturing on July 7, 2027, and a new $70.0 million non-extended revolving credit facility, maturing on January 7, 2026. We also entered into an accounts receivable securitization facility, scheduled to terminate on April 10, 2028, with aggregate commitments of up to $450 million. The maximum availability allowed for the securitization facility is limited by our eligible accounts receivable balances.</w:t>
      </w:r>
    </w:p>
    <w:p>
      <w:pPr>
        <w:spacing w:after="0" w:line="210" w:lineRule="exact"/>
        <w:rPr>
          <w:sz w:val="20"/>
          <w:szCs w:val="20"/>
          <w:color w:val="auto"/>
        </w:rPr>
      </w:pPr>
    </w:p>
    <w:p>
      <w:pPr>
        <w:ind w:right="20" w:firstLine="405"/>
        <w:spacing w:after="0" w:line="256" w:lineRule="auto"/>
        <w:rPr>
          <w:sz w:val="20"/>
          <w:szCs w:val="20"/>
          <w:color w:val="auto"/>
        </w:rPr>
      </w:pPr>
      <w:r>
        <w:rPr>
          <w:rFonts w:ascii="Times New Roman" w:cs="Times New Roman" w:eastAsia="Times New Roman" w:hAnsi="Times New Roman"/>
          <w:sz w:val="18"/>
          <w:szCs w:val="18"/>
          <w:color w:val="auto"/>
        </w:rPr>
        <w:t>Our primary source of liquidity is our available cash and borrowing capacity under our revolving credit facilities and securitization facility. Our primary source of cash is generated from our ongoing operations and can be affected by various risk and uncertainties. As of June 30, 2025, we had $31.7 million of cash on hand and $199 million of additional borrowing capacity under our revolving credit facilities and securitization facility. As of June 30, 2025, we had $70.0 million outstanding under our credit facilities and the maximum availability allowed and amount outstanding under the securitization facility was $366 million. Based on our current business plan, we believe our cash flow from operations and availability under the revolving credit facilities will provide sufficient liquidity to meet the Company’s operating needs for the next 12 months.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Cash Flows</w:t>
            </w:r>
          </w:p>
        </w:tc>
        <w:tc>
          <w:tcPr>
            <w:tcW w:w="3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500"/>
        </w:trPr>
        <w:tc>
          <w:tcPr>
            <w:tcW w:w="8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gridSpan w:val="4"/>
          </w:tcPr>
          <w:p>
            <w:pPr>
              <w:jc w:val="right"/>
              <w:ind w:right="470"/>
              <w:spacing w:after="0"/>
              <w:rPr>
                <w:sz w:val="20"/>
                <w:szCs w:val="20"/>
                <w:color w:val="auto"/>
              </w:rPr>
            </w:pPr>
            <w:r>
              <w:rPr>
                <w:rFonts w:ascii="Times New Roman" w:cs="Times New Roman" w:eastAsia="Times New Roman" w:hAnsi="Times New Roman"/>
                <w:sz w:val="18"/>
                <w:szCs w:val="18"/>
                <w:color w:val="auto"/>
              </w:rPr>
              <w:t>Six Months Ended June 30,</w:t>
            </w:r>
          </w:p>
        </w:tc>
      </w:tr>
      <w:tr>
        <w:trPr>
          <w:trHeight w:val="223"/>
        </w:trPr>
        <w:tc>
          <w:tcPr>
            <w:tcW w:w="8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320" w:type="dxa"/>
            <w:vAlign w:val="bottom"/>
          </w:tcPr>
          <w:p>
            <w:pPr>
              <w:spacing w:after="0"/>
              <w:rPr>
                <w:sz w:val="19"/>
                <w:szCs w:val="19"/>
                <w:color w:val="auto"/>
              </w:rPr>
            </w:pPr>
          </w:p>
        </w:tc>
        <w:tc>
          <w:tcPr>
            <w:tcW w:w="118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2024</w:t>
            </w:r>
          </w:p>
        </w:tc>
      </w:tr>
      <w:tr>
        <w:trPr>
          <w:trHeight w:val="34"/>
        </w:trPr>
        <w:tc>
          <w:tcPr>
            <w:tcW w:w="802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top w:val="single" w:sz="8" w:color="auto"/>
            </w:tcBorders>
          </w:tcPr>
          <w:p>
            <w:pPr>
              <w:spacing w:after="0"/>
              <w:rPr>
                <w:sz w:val="2"/>
                <w:szCs w:val="2"/>
                <w:color w:val="auto"/>
              </w:rPr>
            </w:pPr>
          </w:p>
        </w:tc>
        <w:tc>
          <w:tcPr>
            <w:tcW w:w="11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top w:val="single" w:sz="8" w:color="auto"/>
            </w:tcBorders>
          </w:tcPr>
          <w:p>
            <w:pPr>
              <w:spacing w:after="0"/>
              <w:rPr>
                <w:sz w:val="2"/>
                <w:szCs w:val="2"/>
                <w:color w:val="auto"/>
              </w:rPr>
            </w:pPr>
          </w:p>
        </w:tc>
        <w:tc>
          <w:tcPr>
            <w:tcW w:w="1160" w:type="dxa"/>
            <w:vAlign w:val="bottom"/>
            <w:tcBorders>
              <w:top w:val="single" w:sz="8" w:color="auto"/>
            </w:tcBorders>
          </w:tcPr>
          <w:p>
            <w:pPr>
              <w:spacing w:after="0"/>
              <w:rPr>
                <w:sz w:val="2"/>
                <w:szCs w:val="2"/>
                <w:color w:val="auto"/>
              </w:rPr>
            </w:pPr>
          </w:p>
        </w:tc>
      </w:tr>
      <w:tr>
        <w:trPr>
          <w:trHeight w:val="229"/>
        </w:trPr>
        <w:tc>
          <w:tcPr>
            <w:tcW w:w="8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operating activities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(13,858)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71,797</w:t>
            </w:r>
          </w:p>
        </w:tc>
      </w:tr>
      <w:tr>
        <w:trPr>
          <w:trHeight w:val="230"/>
        </w:trPr>
        <w:tc>
          <w:tcPr>
            <w:tcW w:w="8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16,533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(28,978)</w:t>
            </w:r>
          </w:p>
        </w:tc>
      </w:tr>
      <w:tr>
        <w:trPr>
          <w:trHeight w:val="229"/>
        </w:trPr>
        <w:tc>
          <w:tcPr>
            <w:tcW w:w="8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3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(51,487)</w:t>
            </w:r>
          </w:p>
        </w:tc>
      </w:tr>
      <w:tr>
        <w:trPr>
          <w:trHeight w:val="223"/>
        </w:trPr>
        <w:tc>
          <w:tcPr>
            <w:tcW w:w="8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Increase (decrease) in cash and cash equivalents</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7,808</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(8,668)</w:t>
            </w:r>
          </w:p>
        </w:tc>
      </w:tr>
      <w:tr>
        <w:trPr>
          <w:trHeight w:val="20"/>
        </w:trPr>
        <w:tc>
          <w:tcPr>
            <w:tcW w:w="8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operating activities</w:t>
      </w:r>
    </w:p>
    <w:p>
      <w:pPr>
        <w:spacing w:after="0" w:line="25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Cash used in operating activities in 2025 was $13.9 million compared to cash provided by operating activities in 2024 of $71.8 million. Cash used in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operating activities reflects $38.1 million of debt refinancing transaction costs in 2025. Additionally, there was a year-over-year decrease in segment profit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$29.2 million and a $45.5 million increase in cash used by changes in certain working capital accounts, which were partially offset by a decrease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$19.3 million in cash interest paid and a decrease of $21.8 million in cash taxes paid. The increase in cash used by changes in working capital accounts was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primarily driven by decreases in accounts payable and accrued employee compensation and benefits.</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investing activities</w:t>
      </w:r>
    </w:p>
    <w:p>
      <w:pPr>
        <w:spacing w:after="0" w:line="256" w:lineRule="exact"/>
        <w:rPr>
          <w:sz w:val="20"/>
          <w:szCs w:val="20"/>
          <w:color w:val="auto"/>
        </w:rPr>
      </w:pPr>
    </w:p>
    <w:p>
      <w:pPr>
        <w:ind w:right="60" w:firstLine="405"/>
        <w:spacing w:after="0" w:line="258" w:lineRule="auto"/>
        <w:rPr>
          <w:sz w:val="20"/>
          <w:szCs w:val="20"/>
          <w:color w:val="auto"/>
        </w:rPr>
      </w:pPr>
      <w:r>
        <w:rPr>
          <w:rFonts w:ascii="Times New Roman" w:cs="Times New Roman" w:eastAsia="Times New Roman" w:hAnsi="Times New Roman"/>
          <w:sz w:val="18"/>
          <w:szCs w:val="18"/>
          <w:color w:val="auto"/>
        </w:rPr>
        <w:t>Cash provided by investing activities was $16.5 million in 2025 compared to cash used in investing activities of $29.0 million in 2024. Investing activities in 2025 reflect $40.0 million of cash proceeds from the sale of our West Palm television station building, $6.9 million in cash used for investment purchases and $17.2 million in capital expenditures. On February 9, 2024, following the completed sale of Broadcast Music, Inc. ("BMI") to New Mountain Capital, we received $18.1 million in pre-tax cash proceeds for our equity ownership in BMI. This increase in cash provided by investing activities in 2024 was more than offset by $45.7 million of capital expenditures.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financing activities</w:t>
      </w:r>
    </w:p>
    <w:p>
      <w:pPr>
        <w:spacing w:after="0" w:line="256" w:lineRule="exact"/>
        <w:rPr>
          <w:sz w:val="20"/>
          <w:szCs w:val="20"/>
          <w:color w:val="auto"/>
        </w:rPr>
      </w:pPr>
    </w:p>
    <w:p>
      <w:pPr>
        <w:ind w:firstLine="405"/>
        <w:spacing w:after="0" w:line="255" w:lineRule="auto"/>
        <w:rPr>
          <w:sz w:val="20"/>
          <w:szCs w:val="20"/>
          <w:color w:val="auto"/>
        </w:rPr>
      </w:pPr>
      <w:r>
        <w:rPr>
          <w:rFonts w:ascii="Times New Roman" w:cs="Times New Roman" w:eastAsia="Times New Roman" w:hAnsi="Times New Roman"/>
          <w:sz w:val="18"/>
          <w:szCs w:val="18"/>
          <w:color w:val="auto"/>
        </w:rPr>
        <w:t>Cash provided by financing activities was $5.1 million in 2025 compared to cash used in financing activities of $51.5 million in 2024. During the first six months of 2025, we had net debt proceeds of $70.0 million under our revolving credit facilities and $885 million of proceeds from the issuance of new long-term debt under the April 10, 2025 credit agreement. During the first six months of 2025, we made payments on long-term debt of $1.3 billion to pay down our May 2026 and January 2028 term loans. On April 10, 2025, we also entered into a three-year accounts receivable securitization facility. During the first six months of 2025, proceeds received from the securitization facility were $423 million, while payments on the securitization facility totaled $57.1 million. In connection with the refinancing transactions, we paid $43.2 million in deferred financing costs and $2.8 million in debt extinguishment costs. During the first six months of 2024, we had net debt payments of $40 million under our revolving credit facility.</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0"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color w:val="auto"/>
        </w:rPr>
        <w:t>Debt</w:t>
      </w:r>
    </w:p>
    <w:p>
      <w:pPr>
        <w:spacing w:after="0" w:line="256" w:lineRule="exact"/>
        <w:rPr>
          <w:sz w:val="20"/>
          <w:szCs w:val="20"/>
          <w:color w:val="auto"/>
        </w:rPr>
      </w:pPr>
    </w:p>
    <w:p>
      <w:pPr>
        <w:ind w:right="40" w:firstLine="405"/>
        <w:spacing w:after="0" w:line="261" w:lineRule="auto"/>
        <w:rPr>
          <w:sz w:val="20"/>
          <w:szCs w:val="20"/>
          <w:color w:val="auto"/>
        </w:rPr>
      </w:pPr>
      <w:r>
        <w:rPr>
          <w:rFonts w:ascii="Times New Roman" w:cs="Times New Roman" w:eastAsia="Times New Roman" w:hAnsi="Times New Roman"/>
          <w:sz w:val="18"/>
          <w:szCs w:val="18"/>
          <w:color w:val="auto"/>
        </w:rPr>
        <w:t>On April 10, 2025, we entered into a new credit agreement and completed a series of previously announced refinancing transactions. Under the new credit agreement, we have a revolving credit facility with aggregate commitments of up to $208 million due July 2027 and a non-extended revolving credit facility with aggregate commitments of up to $70.0 million due January 2026. In connection with the new credit agreement, we also have $883 million of outstanding balance on our term loans as of June 30, 2025. The annual required principal payments on these term loans total $8.9 million.</w:t>
      </w:r>
    </w:p>
    <w:p>
      <w:pPr>
        <w:spacing w:after="0" w:line="207" w:lineRule="exact"/>
        <w:rPr>
          <w:sz w:val="20"/>
          <w:szCs w:val="20"/>
          <w:color w:val="auto"/>
        </w:rPr>
      </w:pPr>
    </w:p>
    <w:p>
      <w:pPr>
        <w:ind w:right="180" w:firstLine="405"/>
        <w:spacing w:after="0" w:line="261" w:lineRule="auto"/>
        <w:rPr>
          <w:sz w:val="20"/>
          <w:szCs w:val="20"/>
          <w:color w:val="auto"/>
        </w:rPr>
      </w:pPr>
      <w:r>
        <w:rPr>
          <w:rFonts w:ascii="Times New Roman" w:cs="Times New Roman" w:eastAsia="Times New Roman" w:hAnsi="Times New Roman"/>
          <w:sz w:val="18"/>
          <w:szCs w:val="18"/>
          <w:color w:val="auto"/>
        </w:rPr>
        <w:t>As part of the refinancing transactions, we entered into a new three-year accounts receivable securitization facility, scheduled to terminate April 10, 2028, with aggregate commitments of up to $450 million. The maximum availability allowed is limited by our eligible accounts receivable balances, as defined under the terms of the securitization facility. As of June 30, 2025, the maximum availability allowed and amount outstanding under the securitization facility was $366 million.</w:t>
      </w:r>
    </w:p>
    <w:p>
      <w:pPr>
        <w:spacing w:after="0" w:line="207" w:lineRule="exact"/>
        <w:rPr>
          <w:sz w:val="20"/>
          <w:szCs w:val="20"/>
          <w:color w:val="auto"/>
        </w:rPr>
      </w:pPr>
    </w:p>
    <w:p>
      <w:pPr>
        <w:ind w:firstLine="405"/>
        <w:spacing w:after="0" w:line="261" w:lineRule="auto"/>
        <w:rPr>
          <w:sz w:val="20"/>
          <w:szCs w:val="20"/>
          <w:color w:val="auto"/>
        </w:rPr>
      </w:pPr>
      <w:r>
        <w:rPr>
          <w:rFonts w:ascii="Times New Roman" w:cs="Times New Roman" w:eastAsia="Times New Roman" w:hAnsi="Times New Roman"/>
          <w:sz w:val="18"/>
          <w:szCs w:val="18"/>
          <w:color w:val="auto"/>
        </w:rPr>
        <w:t>As of June 30, 2025, we also have $1.3 billion of senior notes outstanding. Senior secured notes totaling $523 million bear interest at a rate of 3.875% per annum and mature on January 15, 2029. Senior unsecured notes have a total outstanding principal balance of $818 million. The senior unsecured notes that mature on July 15, 2027 bear interest at 5.875% per annum and the senior unsecured notes that mature on January 15, 2031 bear interest at a rate of 5.375% per annum.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Debt Covenants</w:t>
      </w:r>
    </w:p>
    <w:p>
      <w:pPr>
        <w:spacing w:after="0" w:line="256" w:lineRule="exact"/>
        <w:rPr>
          <w:sz w:val="20"/>
          <w:szCs w:val="20"/>
          <w:color w:val="auto"/>
        </w:rPr>
      </w:pPr>
    </w:p>
    <w:p>
      <w:pPr>
        <w:ind w:right="20" w:firstLine="405"/>
        <w:spacing w:after="0" w:line="258" w:lineRule="auto"/>
        <w:rPr>
          <w:sz w:val="20"/>
          <w:szCs w:val="20"/>
          <w:color w:val="auto"/>
        </w:rPr>
      </w:pPr>
      <w:r>
        <w:rPr>
          <w:rFonts w:ascii="Times New Roman" w:cs="Times New Roman" w:eastAsia="Times New Roman" w:hAnsi="Times New Roman"/>
          <w:sz w:val="18"/>
          <w:szCs w:val="18"/>
          <w:color w:val="auto"/>
        </w:rPr>
        <w:t>Our term loans and notes do not have maintenance covenants. The credit agreement contains covenants to comply with a maximum first lien net leverage ratio. For the new revolving credit facility, we must comply with a maximum first lien net leverage ratio of 3.50 to 1.0 through September 30, 2026, at which point it steps down to 3.25 times for the fiscal quarter ended December 31, 2026, and thereafter. For the non-extended revolving credit facility, we must comply with a maximum first lien net leverage ratio of 4.75 to 1.0 through September 30, 2025, at which point it steps down to 4.50 times for the fiscal quarter ending December 31, 2025, and thereafter. As of June 30, 2025, we were in compliance with our financial covenants.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Debt Repurchase Program</w:t>
      </w:r>
    </w:p>
    <w:p>
      <w:pPr>
        <w:spacing w:after="0" w:line="256" w:lineRule="exact"/>
        <w:rPr>
          <w:sz w:val="20"/>
          <w:szCs w:val="20"/>
          <w:color w:val="auto"/>
        </w:rPr>
      </w:pPr>
    </w:p>
    <w:p>
      <w:pPr>
        <w:jc w:val="both"/>
        <w:ind w:right="180" w:firstLine="405"/>
        <w:spacing w:after="0" w:line="266" w:lineRule="auto"/>
        <w:rPr>
          <w:sz w:val="20"/>
          <w:szCs w:val="20"/>
          <w:color w:val="auto"/>
        </w:rPr>
      </w:pPr>
      <w:r>
        <w:rPr>
          <w:rFonts w:ascii="Times New Roman" w:cs="Times New Roman" w:eastAsia="Times New Roman" w:hAnsi="Times New Roman"/>
          <w:sz w:val="18"/>
          <w:szCs w:val="18"/>
          <w:color w:val="auto"/>
        </w:rPr>
        <w:t>In February 2023, our Board of Directors provided a new repurchase authorization, pursuant to which we may reduce, through redemptions or open market purchases and retirement, a combination of the outstanding principal balance of our senior secured and senior unsecured notes. The authorization permits an aggregate principal amount reduction of up to $500 million and expires on March 1, 2026.</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w:t>
      </w:r>
    </w:p>
    <w:p>
      <w:pPr>
        <w:spacing w:after="0" w:line="256" w:lineRule="exact"/>
        <w:rPr>
          <w:sz w:val="20"/>
          <w:szCs w:val="20"/>
          <w:color w:val="auto"/>
        </w:rPr>
      </w:pPr>
    </w:p>
    <w:p>
      <w:pPr>
        <w:ind w:right="60" w:firstLine="405"/>
        <w:spacing w:after="0" w:line="255" w:lineRule="auto"/>
        <w:rPr>
          <w:sz w:val="20"/>
          <w:szCs w:val="20"/>
          <w:color w:val="auto"/>
        </w:rPr>
      </w:pPr>
      <w:r>
        <w:rPr>
          <w:rFonts w:ascii="Times New Roman" w:cs="Times New Roman" w:eastAsia="Times New Roman" w:hAnsi="Times New Roman"/>
          <w:sz w:val="18"/>
          <w:szCs w:val="18"/>
          <w:color w:val="auto"/>
        </w:rPr>
        <w:t>On January 7, 2021 we issued 6,000 shares of series A preferred stock, having a face value of $100,000 per share. The preferred shares are perpetual and will be redeemable at the option of the Company beginning on the fifth anniversary of issuance, and redeemable at the option of the holders in the event of a Change of Control (as defined in the terms of the preferred shares), in each case at a redemption price of 105% of the face value, plus accrued and unpaid dividends (whether or not declared). We did not declare or provide payment for the preferred stock dividend in either quarter of 2025 or any of the 2024 quarters. At June 30, 2025, aggregated undeclared and unpaid cumulative dividends totaled $85.7 million and the redemption value of the preferred stock totaled $718 million. In connection with the issuance of the preferred shares, Berkshire Hathaway also received a warrant to purchase up to 23.1 million Class A shares, at an exercise price of $13 per share.</w:t>
      </w:r>
    </w:p>
    <w:p>
      <w:pPr>
        <w:spacing w:after="0" w:line="216" w:lineRule="exact"/>
        <w:rPr>
          <w:sz w:val="20"/>
          <w:szCs w:val="20"/>
          <w:color w:val="auto"/>
        </w:rPr>
      </w:pPr>
    </w:p>
    <w:p>
      <w:pPr>
        <w:ind w:right="200" w:firstLine="405"/>
        <w:spacing w:after="0" w:line="282" w:lineRule="auto"/>
        <w:rPr>
          <w:sz w:val="20"/>
          <w:szCs w:val="20"/>
          <w:color w:val="auto"/>
        </w:rPr>
      </w:pPr>
      <w:r>
        <w:rPr>
          <w:rFonts w:ascii="Times New Roman" w:cs="Times New Roman" w:eastAsia="Times New Roman" w:hAnsi="Times New Roman"/>
          <w:sz w:val="18"/>
          <w:szCs w:val="18"/>
          <w:color w:val="auto"/>
        </w:rPr>
        <w:t>Under the terms of the preferred shares, we are prohibited from paying dividends on and repurchasing our common shares until all preferred shares are redeemed.</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87" w:right="35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color w:val="auto"/>
        </w:rPr>
        <w:t>Other</w:t>
      </w:r>
    </w:p>
    <w:p>
      <w:pPr>
        <w:spacing w:after="0" w:line="189" w:lineRule="exact"/>
        <w:rPr>
          <w:sz w:val="20"/>
          <w:szCs w:val="20"/>
          <w:color w:val="auto"/>
        </w:rPr>
      </w:pPr>
    </w:p>
    <w:p>
      <w:pPr>
        <w:ind w:right="280" w:firstLine="405"/>
        <w:spacing w:after="0" w:line="282" w:lineRule="auto"/>
        <w:rPr>
          <w:sz w:val="20"/>
          <w:szCs w:val="20"/>
          <w:color w:val="auto"/>
        </w:rPr>
      </w:pPr>
      <w:r>
        <w:rPr>
          <w:rFonts w:ascii="Times New Roman" w:cs="Times New Roman" w:eastAsia="Times New Roman" w:hAnsi="Times New Roman"/>
          <w:sz w:val="18"/>
          <w:szCs w:val="18"/>
          <w:color w:val="auto"/>
        </w:rPr>
        <w:t>During the remainder of 2025, we anticipate contributing an additional $1.0 million to fund the SERPs' benefit payments. We have met regulatory funding requirements for our qualified benefit pension plan and do not have a mandatory contribution in 2025.</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 and Contractual Obligations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Off-Balance Sheet Arrangements</w:t>
      </w:r>
    </w:p>
    <w:p>
      <w:pPr>
        <w:spacing w:after="0" w:line="18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There have been no material changes to the off-balance sheet arrangements disclosed in our 2024 Annual Report on Form 10-K.</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56" w:lineRule="exact"/>
        <w:rPr>
          <w:sz w:val="20"/>
          <w:szCs w:val="20"/>
          <w:color w:val="auto"/>
        </w:rPr>
      </w:pPr>
    </w:p>
    <w:p>
      <w:pPr>
        <w:ind w:right="20" w:firstLine="405"/>
        <w:spacing w:after="0" w:line="256" w:lineRule="auto"/>
        <w:rPr>
          <w:sz w:val="20"/>
          <w:szCs w:val="20"/>
          <w:color w:val="auto"/>
        </w:rPr>
      </w:pPr>
      <w:r>
        <w:rPr>
          <w:rFonts w:ascii="Times New Roman" w:cs="Times New Roman" w:eastAsia="Times New Roman" w:hAnsi="Times New Roman"/>
          <w:sz w:val="18"/>
          <w:szCs w:val="18"/>
          <w:color w:val="auto"/>
        </w:rPr>
        <w:t>The preparation of financial statements in accordance with accounting principles generally accepted in the United States of America (“GAAP”) requires us to make a variety of decisions that affect reported amounts and related disclosures, including the selection of appropriate accounting principles and the assumptions on which to base accounting estimates. In reaching such decisions, we apply judgment based on our understanding and analysis of the relevant circumstances, including our historical experience, actuarial studies and other assumptions. We are committed to incorporating accounting principles, assumptions and estimates that promote the representational faithfulness, verifiability, neutrality and transparency of the accounting information included in the financial statements.</w:t>
      </w:r>
    </w:p>
    <w:p>
      <w:pPr>
        <w:spacing w:after="0" w:line="214" w:lineRule="exact"/>
        <w:rPr>
          <w:sz w:val="20"/>
          <w:szCs w:val="20"/>
          <w:color w:val="auto"/>
        </w:rPr>
      </w:pPr>
    </w:p>
    <w:p>
      <w:pPr>
        <w:ind w:right="20" w:firstLine="405"/>
        <w:spacing w:after="0" w:line="255" w:lineRule="auto"/>
        <w:rPr>
          <w:sz w:val="20"/>
          <w:szCs w:val="20"/>
          <w:color w:val="auto"/>
        </w:rPr>
      </w:pPr>
      <w:r>
        <w:rPr>
          <w:rFonts w:ascii="Times New Roman" w:cs="Times New Roman" w:eastAsia="Times New Roman" w:hAnsi="Times New Roman"/>
          <w:sz w:val="18"/>
          <w:szCs w:val="18"/>
          <w:color w:val="auto"/>
        </w:rPr>
        <w:t>Note 1 to the Consolidated Financial Statements included in our 2024 Annual Report on Form 10-K describes the significant accounting policies we have selected for use in the preparation of our financial statements and related disclosures. An accounting policy is deemed to be critical if it requires an accounting estimate to be made based on assumptions about matters that are highly uncertain at the time the estimate is made and if different estimates that reasonably could have been used or changes in estimates that are likely to occur could materially change the financial statements. We believe the accounting for goodwill and indefinite-lived intangible assets and pension plans to be our most critical accounting policies and estimates. A detailed description of these accounting policies is included in the Critical Accounting Policies section of Management's Discussion and Analysis of Financial Condition and Results of Operations included in our 2024 Annual Report on Form 10-K.</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Guidance</w:t>
      </w:r>
    </w:p>
    <w:p>
      <w:pPr>
        <w:spacing w:after="0" w:line="108" w:lineRule="exact"/>
        <w:rPr>
          <w:sz w:val="20"/>
          <w:szCs w:val="20"/>
          <w:color w:val="auto"/>
        </w:rPr>
      </w:pPr>
    </w:p>
    <w:p>
      <w:pPr>
        <w:ind w:firstLine="180"/>
        <w:spacing w:after="0" w:line="282" w:lineRule="auto"/>
        <w:rPr>
          <w:sz w:val="20"/>
          <w:szCs w:val="20"/>
          <w:color w:val="auto"/>
        </w:rPr>
      </w:pPr>
      <w:r>
        <w:rPr>
          <w:rFonts w:ascii="Times New Roman" w:cs="Times New Roman" w:eastAsia="Times New Roman" w:hAnsi="Times New Roman"/>
          <w:sz w:val="18"/>
          <w:szCs w:val="18"/>
          <w:color w:val="auto"/>
        </w:rPr>
        <w:t>Refer to Note 2. Recently Adopted and Issued Accounting Standards of the Notes to Condensed Consolidated Financial Statements (Part I, Item 1 of this Form 10-Q) for further discussion.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87" w:right="37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color w:val="auto"/>
        </w:rPr>
        <w:t>Quantitative and Qualitative Disclosures About Market Risk</w:t>
      </w:r>
    </w:p>
    <w:p>
      <w:pPr>
        <w:spacing w:after="0" w:line="189" w:lineRule="exact"/>
        <w:rPr>
          <w:sz w:val="20"/>
          <w:szCs w:val="20"/>
          <w:color w:val="auto"/>
        </w:rPr>
      </w:pPr>
    </w:p>
    <w:p>
      <w:pPr>
        <w:ind w:right="100" w:firstLine="405"/>
        <w:spacing w:after="0" w:line="282" w:lineRule="auto"/>
        <w:rPr>
          <w:sz w:val="20"/>
          <w:szCs w:val="20"/>
          <w:color w:val="auto"/>
        </w:rPr>
      </w:pPr>
      <w:r>
        <w:rPr>
          <w:rFonts w:ascii="Times New Roman" w:cs="Times New Roman" w:eastAsia="Times New Roman" w:hAnsi="Times New Roman"/>
          <w:sz w:val="18"/>
          <w:szCs w:val="18"/>
          <w:color w:val="auto"/>
        </w:rPr>
        <w:t>Earnings and cash flow can be affected by, among other things, economic conditions and interest rate changes. We are also exposed to changes in the market value of our investments.</w:t>
      </w:r>
    </w:p>
    <w:p>
      <w:pPr>
        <w:spacing w:after="0" w:line="135" w:lineRule="exact"/>
        <w:rPr>
          <w:sz w:val="20"/>
          <w:szCs w:val="20"/>
          <w:color w:val="auto"/>
        </w:rPr>
      </w:pPr>
    </w:p>
    <w:p>
      <w:pPr>
        <w:ind w:right="80" w:firstLine="445"/>
        <w:spacing w:after="0" w:line="261" w:lineRule="auto"/>
        <w:rPr>
          <w:sz w:val="20"/>
          <w:szCs w:val="20"/>
          <w:color w:val="auto"/>
        </w:rPr>
      </w:pPr>
      <w:r>
        <w:rPr>
          <w:rFonts w:ascii="Times New Roman" w:cs="Times New Roman" w:eastAsia="Times New Roman" w:hAnsi="Times New Roman"/>
          <w:sz w:val="18"/>
          <w:szCs w:val="18"/>
          <w:color w:val="auto"/>
        </w:rPr>
        <w:t>Our objectives in managing interest rate risk are to limit the impact of interest rate changes on our earnings and cash flows and to reduce overall borrowing costs. We may use derivative financial instruments to modify exposure to risks from fluctuations in interest rates. In accordance with our policy, we do not use derivative instruments unless there is an underlying exposure, and we do not hold or enter into financial instruments for speculative trading purposes.</w:t>
      </w:r>
    </w:p>
    <w:p>
      <w:pPr>
        <w:spacing w:after="0" w:line="139" w:lineRule="exact"/>
        <w:rPr>
          <w:sz w:val="20"/>
          <w:szCs w:val="20"/>
          <w:color w:val="auto"/>
        </w:rPr>
      </w:pPr>
    </w:p>
    <w:p>
      <w:pPr>
        <w:jc w:val="both"/>
        <w:ind w:right="60" w:firstLine="445"/>
        <w:spacing w:after="0" w:line="261" w:lineRule="auto"/>
        <w:rPr>
          <w:sz w:val="20"/>
          <w:szCs w:val="20"/>
          <w:color w:val="auto"/>
        </w:rPr>
      </w:pPr>
      <w:r>
        <w:rPr>
          <w:rFonts w:ascii="Times New Roman" w:cs="Times New Roman" w:eastAsia="Times New Roman" w:hAnsi="Times New Roman"/>
          <w:sz w:val="18"/>
          <w:szCs w:val="18"/>
          <w:color w:val="auto"/>
        </w:rPr>
        <w:t>We are subject to interest rate risk associated with our credit agreement, as borrowings bear interest at the secured overnight financing rate ("SOFR") plus respective fixed margin spreads or spreads determined relative to our Company’s leverage ratio. Accordingly, the interest we pay on our borrowings is dependent on interest rate conditions and the timing of our financing needs. A 100 basis point increase in SOFR would increase annual interest expense on our variable rate borrowings by approximately $13.2 million.</w:t>
      </w:r>
    </w:p>
    <w:p>
      <w:pPr>
        <w:spacing w:after="0" w:line="13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presents additional information about market-risk-sensitive financial instruments: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740" w:type="dxa"/>
            <w:vAlign w:val="bottom"/>
            <w:gridSpan w:val="5"/>
          </w:tcPr>
          <w:p>
            <w:pPr>
              <w:ind w:left="440"/>
              <w:spacing w:after="0"/>
              <w:rPr>
                <w:sz w:val="20"/>
                <w:szCs w:val="20"/>
                <w:color w:val="auto"/>
              </w:rPr>
            </w:pPr>
            <w:r>
              <w:rPr>
                <w:rFonts w:ascii="Times New Roman" w:cs="Times New Roman" w:eastAsia="Times New Roman" w:hAnsi="Times New Roman"/>
                <w:sz w:val="18"/>
                <w:szCs w:val="18"/>
                <w:color w:val="auto"/>
              </w:rPr>
              <w:t>As of June 30, 2025</w:t>
            </w:r>
          </w:p>
        </w:tc>
        <w:tc>
          <w:tcPr>
            <w:tcW w:w="320" w:type="dxa"/>
            <w:vAlign w:val="bottom"/>
          </w:tcPr>
          <w:p>
            <w:pPr>
              <w:spacing w:after="0"/>
              <w:rPr>
                <w:sz w:val="20"/>
                <w:szCs w:val="20"/>
                <w:color w:val="auto"/>
              </w:rPr>
            </w:pPr>
          </w:p>
        </w:tc>
        <w:tc>
          <w:tcPr>
            <w:tcW w:w="2660" w:type="dxa"/>
            <w:vAlign w:val="bottom"/>
            <w:gridSpan w:val="4"/>
          </w:tcPr>
          <w:p>
            <w:pPr>
              <w:ind w:left="240"/>
              <w:spacing w:after="0"/>
              <w:rPr>
                <w:sz w:val="20"/>
                <w:szCs w:val="20"/>
                <w:color w:val="auto"/>
              </w:rPr>
            </w:pPr>
            <w:r>
              <w:rPr>
                <w:rFonts w:ascii="Times New Roman" w:cs="Times New Roman" w:eastAsia="Times New Roman" w:hAnsi="Times New Roman"/>
                <w:sz w:val="18"/>
                <w:szCs w:val="18"/>
                <w:color w:val="auto"/>
              </w:rPr>
              <w:t>As of December 31, 2024</w:t>
            </w:r>
          </w:p>
        </w:tc>
      </w:tr>
      <w:tr>
        <w:trPr>
          <w:trHeight w:val="169"/>
        </w:trPr>
        <w:tc>
          <w:tcPr>
            <w:tcW w:w="5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1220" w:type="dxa"/>
            <w:vAlign w:val="bottom"/>
            <w:tcBorders>
              <w:top w:val="single" w:sz="8" w:color="auto"/>
            </w:tcBorders>
            <w:gridSpan w:val="2"/>
          </w:tcPr>
          <w:p>
            <w:pPr>
              <w:jc w:val="center"/>
              <w:ind w:right="440"/>
              <w:spacing w:after="0" w:line="169" w:lineRule="exact"/>
              <w:rPr>
                <w:sz w:val="20"/>
                <w:szCs w:val="20"/>
                <w:color w:val="auto"/>
              </w:rPr>
            </w:pPr>
            <w:r>
              <w:rPr>
                <w:rFonts w:ascii="Times New Roman" w:cs="Times New Roman" w:eastAsia="Times New Roman" w:hAnsi="Times New Roman"/>
                <w:sz w:val="18"/>
                <w:szCs w:val="18"/>
                <w:color w:val="auto"/>
              </w:rPr>
              <w:t>Cost</w:t>
            </w:r>
          </w:p>
        </w:tc>
        <w:tc>
          <w:tcPr>
            <w:tcW w:w="30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tcPr>
          <w:p>
            <w:pPr>
              <w:jc w:val="center"/>
              <w:ind w:right="210"/>
              <w:spacing w:after="0" w:line="169" w:lineRule="exact"/>
              <w:rPr>
                <w:sz w:val="20"/>
                <w:szCs w:val="20"/>
                <w:color w:val="auto"/>
              </w:rPr>
            </w:pPr>
            <w:r>
              <w:rPr>
                <w:rFonts w:ascii="Times New Roman" w:cs="Times New Roman" w:eastAsia="Times New Roman" w:hAnsi="Times New Roman"/>
                <w:sz w:val="18"/>
                <w:szCs w:val="18"/>
                <w:color w:val="auto"/>
              </w:rPr>
              <w:t>Fair</w:t>
            </w:r>
          </w:p>
        </w:tc>
        <w:tc>
          <w:tcPr>
            <w:tcW w:w="100" w:type="dxa"/>
            <w:vAlign w:val="bottom"/>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1220" w:type="dxa"/>
            <w:vAlign w:val="bottom"/>
            <w:tcBorders>
              <w:top w:val="single" w:sz="8" w:color="auto"/>
            </w:tcBorders>
            <w:gridSpan w:val="2"/>
          </w:tcPr>
          <w:p>
            <w:pPr>
              <w:ind w:left="240"/>
              <w:spacing w:after="0" w:line="169" w:lineRule="exact"/>
              <w:rPr>
                <w:sz w:val="20"/>
                <w:szCs w:val="20"/>
                <w:color w:val="auto"/>
              </w:rPr>
            </w:pPr>
            <w:r>
              <w:rPr>
                <w:rFonts w:ascii="Times New Roman" w:cs="Times New Roman" w:eastAsia="Times New Roman" w:hAnsi="Times New Roman"/>
                <w:sz w:val="18"/>
                <w:szCs w:val="18"/>
                <w:color w:val="auto"/>
              </w:rPr>
              <w:t>Cost</w:t>
            </w:r>
          </w:p>
        </w:tc>
        <w:tc>
          <w:tcPr>
            <w:tcW w:w="32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tcPr>
          <w:p>
            <w:pPr>
              <w:jc w:val="right"/>
              <w:ind w:right="490"/>
              <w:spacing w:after="0" w:line="169" w:lineRule="exact"/>
              <w:rPr>
                <w:sz w:val="20"/>
                <w:szCs w:val="20"/>
                <w:color w:val="auto"/>
              </w:rPr>
            </w:pPr>
            <w:r>
              <w:rPr>
                <w:rFonts w:ascii="Times New Roman" w:cs="Times New Roman" w:eastAsia="Times New Roman" w:hAnsi="Times New Roman"/>
                <w:sz w:val="18"/>
                <w:szCs w:val="18"/>
                <w:color w:val="auto"/>
              </w:rPr>
              <w:t>Fair</w:t>
            </w:r>
          </w:p>
        </w:tc>
      </w:tr>
      <w:tr>
        <w:trPr>
          <w:trHeight w:val="243"/>
        </w:trPr>
        <w:tc>
          <w:tcPr>
            <w:tcW w:w="5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320" w:type="dxa"/>
            <w:vAlign w:val="bottom"/>
          </w:tcPr>
          <w:p>
            <w:pPr>
              <w:spacing w:after="0"/>
              <w:rPr>
                <w:sz w:val="21"/>
                <w:szCs w:val="21"/>
                <w:color w:val="auto"/>
              </w:rPr>
            </w:pPr>
          </w:p>
        </w:tc>
        <w:tc>
          <w:tcPr>
            <w:tcW w:w="122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color w:val="auto"/>
                <w:w w:val="97"/>
              </w:rPr>
              <w:t>Basis</w:t>
            </w:r>
          </w:p>
        </w:tc>
        <w:tc>
          <w:tcPr>
            <w:tcW w:w="300" w:type="dxa"/>
            <w:vAlign w:val="bottom"/>
          </w:tcPr>
          <w:p>
            <w:pPr>
              <w:spacing w:after="0"/>
              <w:rPr>
                <w:sz w:val="21"/>
                <w:szCs w:val="21"/>
                <w:color w:val="auto"/>
              </w:rPr>
            </w:pPr>
          </w:p>
        </w:tc>
        <w:tc>
          <w:tcPr>
            <w:tcW w:w="122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color w:val="auto"/>
                <w:w w:val="97"/>
              </w:rPr>
              <w:t>Value</w:t>
            </w:r>
          </w:p>
        </w:tc>
        <w:tc>
          <w:tcPr>
            <w:tcW w:w="320" w:type="dxa"/>
            <w:vAlign w:val="bottom"/>
          </w:tcPr>
          <w:p>
            <w:pPr>
              <w:spacing w:after="0"/>
              <w:rPr>
                <w:sz w:val="21"/>
                <w:szCs w:val="21"/>
                <w:color w:val="auto"/>
              </w:rPr>
            </w:pPr>
          </w:p>
        </w:tc>
        <w:tc>
          <w:tcPr>
            <w:tcW w:w="12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Basis</w:t>
            </w:r>
          </w:p>
        </w:tc>
        <w:tc>
          <w:tcPr>
            <w:tcW w:w="320" w:type="dxa"/>
            <w:vAlign w:val="bottom"/>
          </w:tcPr>
          <w:p>
            <w:pPr>
              <w:spacing w:after="0"/>
              <w:rPr>
                <w:sz w:val="21"/>
                <w:szCs w:val="21"/>
                <w:color w:val="auto"/>
              </w:rPr>
            </w:pPr>
          </w:p>
        </w:tc>
        <w:tc>
          <w:tcPr>
            <w:tcW w:w="112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Value</w:t>
            </w:r>
          </w:p>
        </w:tc>
      </w:tr>
      <w:tr>
        <w:trPr>
          <w:trHeight w:val="34"/>
        </w:trPr>
        <w:tc>
          <w:tcPr>
            <w:tcW w:w="51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top w:val="single" w:sz="8" w:color="auto"/>
            </w:tcBorders>
          </w:tcPr>
          <w:p>
            <w:pPr>
              <w:spacing w:after="0"/>
              <w:rPr>
                <w:sz w:val="2"/>
                <w:szCs w:val="2"/>
                <w:color w:val="auto"/>
              </w:rPr>
            </w:pPr>
          </w:p>
        </w:tc>
        <w:tc>
          <w:tcPr>
            <w:tcW w:w="110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top w:val="single" w:sz="8" w:color="auto"/>
            </w:tcBorders>
          </w:tcPr>
          <w:p>
            <w:pPr>
              <w:spacing w:after="0"/>
              <w:rPr>
                <w:sz w:val="2"/>
                <w:szCs w:val="2"/>
                <w:color w:val="auto"/>
              </w:rPr>
            </w:pPr>
          </w:p>
        </w:tc>
        <w:tc>
          <w:tcPr>
            <w:tcW w:w="112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top w:val="single" w:sz="8" w:color="auto"/>
            </w:tcBorders>
          </w:tcPr>
          <w:p>
            <w:pPr>
              <w:spacing w:after="0"/>
              <w:rPr>
                <w:sz w:val="2"/>
                <w:szCs w:val="2"/>
                <w:color w:val="auto"/>
              </w:rPr>
            </w:pPr>
          </w:p>
        </w:tc>
        <w:tc>
          <w:tcPr>
            <w:tcW w:w="112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top w:val="single" w:sz="8" w:color="auto"/>
            </w:tcBorders>
          </w:tcPr>
          <w:p>
            <w:pPr>
              <w:spacing w:after="0"/>
              <w:rPr>
                <w:sz w:val="2"/>
                <w:szCs w:val="2"/>
                <w:color w:val="auto"/>
              </w:rPr>
            </w:pPr>
          </w:p>
        </w:tc>
        <w:tc>
          <w:tcPr>
            <w:tcW w:w="1120" w:type="dxa"/>
            <w:vAlign w:val="bottom"/>
            <w:tcBorders>
              <w:top w:val="single" w:sz="8" w:color="auto"/>
            </w:tcBorders>
          </w:tcPr>
          <w:p>
            <w:pPr>
              <w:spacing w:after="0"/>
              <w:rPr>
                <w:sz w:val="2"/>
                <w:szCs w:val="2"/>
                <w:color w:val="auto"/>
              </w:rPr>
            </w:pPr>
          </w:p>
        </w:tc>
      </w:tr>
      <w:tr>
        <w:trPr>
          <w:trHeight w:val="229"/>
        </w:trPr>
        <w:tc>
          <w:tcPr>
            <w:tcW w:w="5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Financial instruments subject to interest rate risk:</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29"/>
        </w:trPr>
        <w:tc>
          <w:tcPr>
            <w:tcW w:w="5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Accounts receivable securitization facility</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365,500</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365,500</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Revolving credit facilities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70,000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70,000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5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Senior secured notes, due in January 2029</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523,356</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452,703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523,356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384,667</w:t>
            </w:r>
          </w:p>
        </w:tc>
      </w:tr>
      <w:tr>
        <w:trPr>
          <w:trHeight w:val="230"/>
        </w:trPr>
        <w:tc>
          <w:tcPr>
            <w:tcW w:w="5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Senior unsecured notes, due in July 2027</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425,667</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378,844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425,667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343,726</w:t>
            </w:r>
          </w:p>
        </w:tc>
      </w:tr>
      <w:tr>
        <w:trPr>
          <w:trHeight w:val="229"/>
        </w:trPr>
        <w:tc>
          <w:tcPr>
            <w:tcW w:w="5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Senior unsecured notes, due in January 2031</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392,071</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270,529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392,071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199,956</w:t>
            </w:r>
          </w:p>
        </w:tc>
      </w:tr>
      <w:tr>
        <w:trPr>
          <w:trHeight w:val="230"/>
        </w:trPr>
        <w:tc>
          <w:tcPr>
            <w:tcW w:w="5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Term loan, due in June 2028</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543,852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527,536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5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Term loan, due in November 2029</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339,304</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313,856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Term loan, due in May 2026</w:t>
            </w:r>
          </w:p>
        </w:tc>
        <w:tc>
          <w:tcPr>
            <w:tcW w:w="3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721,213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701,380</w:t>
            </w:r>
          </w:p>
        </w:tc>
      </w:tr>
      <w:tr>
        <w:trPr>
          <w:trHeight w:val="230"/>
        </w:trPr>
        <w:tc>
          <w:tcPr>
            <w:tcW w:w="5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Term loan, due in January 2028</w:t>
            </w:r>
          </w:p>
        </w:tc>
        <w:tc>
          <w:tcPr>
            <w:tcW w:w="32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543,000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483,270</w:t>
            </w:r>
          </w:p>
        </w:tc>
      </w:tr>
      <w:tr>
        <w:trPr>
          <w:trHeight w:val="248"/>
        </w:trPr>
        <w:tc>
          <w:tcPr>
            <w:tcW w:w="520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debt, including current portion</w:t>
            </w: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2,659,750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2,378,968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2,605,307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2,112,999</w:t>
            </w:r>
          </w:p>
        </w:tc>
      </w:tr>
      <w:tr>
        <w:trPr>
          <w:trHeight w:val="20"/>
        </w:trPr>
        <w:tc>
          <w:tcPr>
            <w:tcW w:w="5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5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30"/>
        </w:trPr>
        <w:tc>
          <w:tcPr>
            <w:tcW w:w="5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Financial instruments subject to market value risk:</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29"/>
        </w:trPr>
        <w:tc>
          <w:tcPr>
            <w:tcW w:w="5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Investments held at cost</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6,442</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(a)</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6,353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w:t>
            </w:r>
          </w:p>
        </w:tc>
      </w:tr>
      <w:tr>
        <w:trPr>
          <w:trHeight w:val="21"/>
        </w:trPr>
        <w:tc>
          <w:tcPr>
            <w:tcW w:w="5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ind w:left="360" w:right="300" w:hanging="334"/>
        <w:spacing w:after="0" w:line="282" w:lineRule="auto"/>
        <w:tabs>
          <w:tab w:leader="none" w:pos="2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securities that do not trade in public markets, thus the securities do not have readily determinable fair values. We estimate the fair values of these investments approximate their carrying values at June 30, 2025 and December 31,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color w:val="auto"/>
        </w:rPr>
        <w:t>Controls and Procedures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02" w:lineRule="exact"/>
        <w:rPr>
          <w:sz w:val="20"/>
          <w:szCs w:val="20"/>
          <w:color w:val="auto"/>
        </w:rPr>
      </w:pPr>
    </w:p>
    <w:p>
      <w:pPr>
        <w:ind w:right="80" w:firstLine="405"/>
        <w:spacing w:after="0" w:line="289" w:lineRule="auto"/>
        <w:rPr>
          <w:sz w:val="20"/>
          <w:szCs w:val="20"/>
          <w:color w:val="auto"/>
        </w:rPr>
      </w:pPr>
      <w:r>
        <w:rPr>
          <w:rFonts w:ascii="Times New Roman" w:cs="Times New Roman" w:eastAsia="Times New Roman" w:hAnsi="Times New Roman"/>
          <w:sz w:val="17"/>
          <w:szCs w:val="17"/>
          <w:color w:val="auto"/>
        </w:rPr>
        <w:t>Scripps management is responsible for establishing and maintaining adequate internal controls designed to provide reasonable assurance regarding the reliability of financial reporting and the preparation of financial statements for external purposes in accordance with accounting principles generally accepted in the United States of America (“GAAP”). The Company’s internal control over financial reporting includes those policies and procedures that:</w:t>
      </w:r>
    </w:p>
    <w:p>
      <w:pPr>
        <w:spacing w:after="0" w:line="63" w:lineRule="exact"/>
        <w:rPr>
          <w:sz w:val="20"/>
          <w:szCs w:val="20"/>
          <w:color w:val="auto"/>
        </w:rPr>
      </w:pPr>
    </w:p>
    <w:p>
      <w:pPr>
        <w:ind w:left="480" w:right="2760" w:hanging="454"/>
        <w:spacing w:after="0" w:line="250" w:lineRule="auto"/>
        <w:tabs>
          <w:tab w:leader="none" w:pos="4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pertain to the maintenance of records that in reasonable detail accurately and fairly reflect the transactions and dispositions of the assets of the Company;</w:t>
      </w:r>
    </w:p>
    <w:p>
      <w:pPr>
        <w:spacing w:after="0" w:line="122" w:lineRule="exact"/>
        <w:rPr>
          <w:rFonts w:ascii="Times New Roman" w:cs="Times New Roman" w:eastAsia="Times New Roman" w:hAnsi="Times New Roman"/>
          <w:sz w:val="18"/>
          <w:szCs w:val="18"/>
          <w:color w:val="auto"/>
        </w:rPr>
      </w:pPr>
    </w:p>
    <w:p>
      <w:pPr>
        <w:ind w:left="480" w:right="2060" w:hanging="454"/>
        <w:spacing w:after="0" w:line="231" w:lineRule="auto"/>
        <w:tabs>
          <w:tab w:leader="none" w:pos="4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reasonable assurance that transactions are recorded as necessary to permit preparation of financial statements in accordance with GAAP, and that receipts and expenditures of the Company are being made only in accordance with authorizations of management and the directors of the Company; and</w:t>
      </w:r>
    </w:p>
    <w:p>
      <w:pPr>
        <w:spacing w:after="0" w:line="158" w:lineRule="exact"/>
        <w:rPr>
          <w:rFonts w:ascii="Times New Roman" w:cs="Times New Roman" w:eastAsia="Times New Roman" w:hAnsi="Times New Roman"/>
          <w:sz w:val="18"/>
          <w:szCs w:val="18"/>
          <w:color w:val="auto"/>
        </w:rPr>
      </w:pPr>
    </w:p>
    <w:p>
      <w:pPr>
        <w:ind w:left="480" w:right="2060" w:hanging="454"/>
        <w:spacing w:after="0" w:line="237" w:lineRule="auto"/>
        <w:tabs>
          <w:tab w:leader="none" w:pos="4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reasonable assurance regarding prevention or timely detection of unauthorized acquisition, use or disposition of the Company’s assets that could have a material effect on the financial statements.</w:t>
      </w:r>
    </w:p>
    <w:p>
      <w:pPr>
        <w:spacing w:after="0" w:line="334" w:lineRule="exact"/>
        <w:rPr>
          <w:sz w:val="20"/>
          <w:szCs w:val="20"/>
          <w:color w:val="auto"/>
        </w:rPr>
      </w:pPr>
    </w:p>
    <w:p>
      <w:pPr>
        <w:ind w:right="80" w:firstLine="405"/>
        <w:spacing w:after="0" w:line="266" w:lineRule="auto"/>
        <w:rPr>
          <w:sz w:val="20"/>
          <w:szCs w:val="20"/>
          <w:color w:val="auto"/>
        </w:rPr>
      </w:pPr>
      <w:r>
        <w:rPr>
          <w:rFonts w:ascii="Times New Roman" w:cs="Times New Roman" w:eastAsia="Times New Roman" w:hAnsi="Times New Roman"/>
          <w:sz w:val="18"/>
          <w:szCs w:val="18"/>
          <w:color w:val="auto"/>
        </w:rPr>
        <w:t>All internal control systems, no matter how well designed, have inherent limitations, including the possibility of human error, collusion and the improper overriding of controls by management. Accordingly, even effective internal control can only provide reasonable but not absolute assurance with respect to financial statement preparation. Further, because of changes in conditions, the effectiveness of internal control may vary over time.</w:t>
      </w:r>
    </w:p>
    <w:p>
      <w:pPr>
        <w:spacing w:after="0" w:line="149"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The effectiveness of the design and operation of our disclosure controls and procedures (as defined in Rule 13a-15(e) under the Securities Exchange Act of 1934) was evaluated as of the date of the financial statements. This evaluation was carried out under the supervision of and with the participation of management, including the Chief Executive Officer and the Chief Financial Officer. Based upon that evaluation, the Chief Executive Officer and the Chief Financial Officer concluded that the design and operation of these disclosure controls and procedures are effective.</w:t>
      </w:r>
    </w:p>
    <w:p>
      <w:pPr>
        <w:spacing w:after="0" w:line="139" w:lineRule="exact"/>
        <w:rPr>
          <w:sz w:val="20"/>
          <w:szCs w:val="20"/>
          <w:color w:val="auto"/>
        </w:rPr>
      </w:pPr>
    </w:p>
    <w:p>
      <w:pPr>
        <w:ind w:right="200" w:firstLine="405"/>
        <w:spacing w:after="0" w:line="312" w:lineRule="auto"/>
        <w:rPr>
          <w:sz w:val="20"/>
          <w:szCs w:val="20"/>
          <w:color w:val="auto"/>
        </w:rPr>
      </w:pPr>
      <w:r>
        <w:rPr>
          <w:rFonts w:ascii="Times New Roman" w:cs="Times New Roman" w:eastAsia="Times New Roman" w:hAnsi="Times New Roman"/>
          <w:sz w:val="17"/>
          <w:szCs w:val="17"/>
          <w:color w:val="auto"/>
        </w:rPr>
        <w:t>There were no changes to the Company's internal controls over financial reporting (as defined in Exchange Act Rule 13a-15(f)) during the period covered by this report that have materially affected, or are reasonably likely to materially affect, the Company's internal control over financial reporting.</w:t>
      </w:r>
    </w:p>
    <w:p>
      <w:pPr>
        <w:spacing w:after="0" w:line="200" w:lineRule="exact"/>
        <w:rPr>
          <w:sz w:val="20"/>
          <w:szCs w:val="20"/>
          <w:color w:val="auto"/>
        </w:rPr>
      </w:pPr>
    </w:p>
    <w:p>
      <w:pPr>
        <w:spacing w:after="0" w:line="27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F-35</w:t>
      </w:r>
    </w:p>
    <w:p>
      <w:pPr>
        <w:sectPr>
          <w:pgSz w:w="11900" w:h="16838" w:orient="portrait"/>
          <w:cols w:equalWidth="0" w:num="1">
            <w:col w:w="11160"/>
          </w:cols>
          <w:pgMar w:left="320" w:top="887" w:right="419" w:bottom="1440" w:gutter="0" w:footer="0" w:header="0"/>
        </w:sectPr>
      </w:pPr>
    </w:p>
    <w:bookmarkStart w:id="42" w:name="page43"/>
    <w:bookmarkEnd w:id="42"/>
    <w:p>
      <w:pPr>
        <w:jc w:val="right"/>
        <w:spacing w:after="0"/>
        <w:rPr>
          <w:sz w:val="20"/>
          <w:szCs w:val="20"/>
          <w:color w:val="auto"/>
        </w:rPr>
      </w:pPr>
      <w:r>
        <w:rPr>
          <w:rFonts w:ascii="Times New Roman" w:cs="Times New Roman" w:eastAsia="Times New Roman" w:hAnsi="Times New Roman"/>
          <w:sz w:val="18"/>
          <w:szCs w:val="18"/>
          <w:b w:val="1"/>
          <w:bCs w:val="1"/>
          <w:color w:val="auto"/>
        </w:rPr>
        <w:t>Exhibit 31.A</w:t>
      </w:r>
    </w:p>
    <w:p>
      <w:pPr>
        <w:spacing w:after="0" w:line="3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Section 302 Certifications</w:t>
      </w: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Adam P. Symson, certify that:</w:t>
      </w:r>
    </w:p>
    <w:p>
      <w:pPr>
        <w:spacing w:after="0" w:line="252" w:lineRule="exact"/>
        <w:rPr>
          <w:sz w:val="20"/>
          <w:szCs w:val="20"/>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report on Form 10-Q of The E.W. Scripps Company;</w:t>
      </w:r>
    </w:p>
    <w:p>
      <w:pPr>
        <w:spacing w:after="0" w:line="27" w:lineRule="exact"/>
        <w:rPr>
          <w:rFonts w:ascii="Times New Roman" w:cs="Times New Roman" w:eastAsia="Times New Roman" w:hAnsi="Times New Roman"/>
          <w:sz w:val="18"/>
          <w:szCs w:val="18"/>
          <w:color w:val="auto"/>
        </w:rPr>
      </w:pPr>
    </w:p>
    <w:p>
      <w:pPr>
        <w:jc w:val="both"/>
        <w:ind w:left="660" w:right="120" w:hanging="328"/>
        <w:spacing w:after="0" w:line="250"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 w:lineRule="exact"/>
        <w:rPr>
          <w:rFonts w:ascii="Times New Roman" w:cs="Times New Roman" w:eastAsia="Times New Roman" w:hAnsi="Times New Roman"/>
          <w:sz w:val="18"/>
          <w:szCs w:val="18"/>
          <w:color w:val="auto"/>
        </w:rPr>
      </w:pPr>
    </w:p>
    <w:p>
      <w:pPr>
        <w:ind w:left="660" w:right="80" w:hanging="328"/>
        <w:spacing w:after="0" w:line="250"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ind w:left="660" w:right="120" w:hanging="328"/>
        <w:spacing w:after="0" w:line="250"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 w:lineRule="exact"/>
        <w:rPr>
          <w:rFonts w:ascii="Times New Roman" w:cs="Times New Roman" w:eastAsia="Times New Roman" w:hAnsi="Times New Roman"/>
          <w:sz w:val="18"/>
          <w:szCs w:val="18"/>
          <w:color w:val="auto"/>
        </w:rPr>
      </w:pPr>
    </w:p>
    <w:p>
      <w:pPr>
        <w:ind w:left="1300" w:right="120" w:hanging="320"/>
        <w:spacing w:after="0" w:line="250" w:lineRule="auto"/>
        <w:tabs>
          <w:tab w:leader="none" w:pos="129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 w:lineRule="exact"/>
        <w:rPr>
          <w:rFonts w:ascii="Times New Roman" w:cs="Times New Roman" w:eastAsia="Times New Roman" w:hAnsi="Times New Roman"/>
          <w:sz w:val="18"/>
          <w:szCs w:val="18"/>
          <w:color w:val="auto"/>
        </w:rPr>
      </w:pPr>
    </w:p>
    <w:p>
      <w:pPr>
        <w:ind w:left="1300" w:right="40" w:hanging="320"/>
        <w:spacing w:after="0" w:line="250" w:lineRule="auto"/>
        <w:tabs>
          <w:tab w:leader="none" w:pos="130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Times New Roman" w:cs="Times New Roman" w:eastAsia="Times New Roman" w:hAnsi="Times New Roman"/>
          <w:sz w:val="18"/>
          <w:szCs w:val="18"/>
          <w:color w:val="auto"/>
        </w:rPr>
      </w:pPr>
    </w:p>
    <w:p>
      <w:pPr>
        <w:ind w:left="1300" w:right="220" w:hanging="320"/>
        <w:spacing w:after="0" w:line="265" w:lineRule="auto"/>
        <w:tabs>
          <w:tab w:leader="none" w:pos="1290" w:val="left"/>
        </w:tabs>
        <w:numPr>
          <w:ilvl w:val="1"/>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1300" w:right="280" w:hanging="320"/>
        <w:spacing w:after="0" w:line="250" w:lineRule="auto"/>
        <w:tabs>
          <w:tab w:leader="none" w:pos="130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 w:lineRule="exact"/>
        <w:rPr>
          <w:rFonts w:ascii="Times New Roman" w:cs="Times New Roman" w:eastAsia="Times New Roman" w:hAnsi="Times New Roman"/>
          <w:sz w:val="18"/>
          <w:szCs w:val="18"/>
          <w:color w:val="auto"/>
        </w:rPr>
      </w:pPr>
    </w:p>
    <w:p>
      <w:pPr>
        <w:ind w:left="660" w:right="20" w:hanging="328"/>
        <w:spacing w:after="0" w:line="250"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ind w:left="1300" w:right="680" w:hanging="320"/>
        <w:spacing w:after="0" w:line="250" w:lineRule="auto"/>
        <w:tabs>
          <w:tab w:leader="none" w:pos="129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that are reasonably likely to adversely affect the registrant's ability to record, process, summarize and report financial information; and</w:t>
      </w:r>
    </w:p>
    <w:p>
      <w:pPr>
        <w:ind w:left="1300" w:right="220" w:hanging="320"/>
        <w:spacing w:after="0" w:line="260" w:lineRule="auto"/>
        <w:tabs>
          <w:tab w:leader="none" w:pos="130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8, 2025</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/s/ Adam P. Symson</w:t>
      </w:r>
    </w:p>
    <w:p>
      <w:pPr>
        <w:spacing w:after="0" w:line="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Adam P. Symson</w:t>
      </w:r>
    </w:p>
    <w:p>
      <w:pPr>
        <w:spacing w:after="0" w:line="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ectPr>
          <w:pgSz w:w="11900" w:h="16838" w:orient="portrait"/>
          <w:cols w:equalWidth="0" w:num="1">
            <w:col w:w="11240"/>
          </w:cols>
          <w:pgMar w:left="320" w:top="887" w:right="339" w:bottom="1440" w:gutter="0" w:footer="0" w:header="0"/>
        </w:sectPr>
      </w:pPr>
    </w:p>
    <w:bookmarkStart w:id="43" w:name="page44"/>
    <w:bookmarkEnd w:id="43"/>
    <w:p>
      <w:pPr>
        <w:jc w:val="right"/>
        <w:spacing w:after="0"/>
        <w:rPr>
          <w:sz w:val="20"/>
          <w:szCs w:val="20"/>
          <w:color w:val="auto"/>
        </w:rPr>
      </w:pPr>
      <w:r>
        <w:rPr>
          <w:rFonts w:ascii="Times New Roman" w:cs="Times New Roman" w:eastAsia="Times New Roman" w:hAnsi="Times New Roman"/>
          <w:sz w:val="18"/>
          <w:szCs w:val="18"/>
          <w:b w:val="1"/>
          <w:bCs w:val="1"/>
          <w:color w:val="auto"/>
        </w:rPr>
        <w:t>Exhibit 31.B</w:t>
      </w:r>
    </w:p>
    <w:p>
      <w:pPr>
        <w:spacing w:after="0" w:line="3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Section 302 Certifications</w:t>
      </w: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Jason Combs, certify that:</w:t>
      </w:r>
    </w:p>
    <w:p>
      <w:pPr>
        <w:spacing w:after="0" w:line="252" w:lineRule="exact"/>
        <w:rPr>
          <w:sz w:val="20"/>
          <w:szCs w:val="20"/>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report on Form 10-Q of The E.W. Scripps Company;</w:t>
      </w:r>
    </w:p>
    <w:p>
      <w:pPr>
        <w:spacing w:after="0" w:line="27" w:lineRule="exact"/>
        <w:rPr>
          <w:rFonts w:ascii="Times New Roman" w:cs="Times New Roman" w:eastAsia="Times New Roman" w:hAnsi="Times New Roman"/>
          <w:sz w:val="18"/>
          <w:szCs w:val="18"/>
          <w:color w:val="auto"/>
        </w:rPr>
      </w:pPr>
    </w:p>
    <w:p>
      <w:pPr>
        <w:jc w:val="both"/>
        <w:ind w:left="660" w:right="120" w:hanging="328"/>
        <w:spacing w:after="0" w:line="250"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 w:lineRule="exact"/>
        <w:rPr>
          <w:rFonts w:ascii="Times New Roman" w:cs="Times New Roman" w:eastAsia="Times New Roman" w:hAnsi="Times New Roman"/>
          <w:sz w:val="18"/>
          <w:szCs w:val="18"/>
          <w:color w:val="auto"/>
        </w:rPr>
      </w:pPr>
    </w:p>
    <w:p>
      <w:pPr>
        <w:ind w:left="660" w:right="80" w:hanging="328"/>
        <w:spacing w:after="0" w:line="250"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ind w:left="660" w:right="120" w:hanging="328"/>
        <w:spacing w:after="0" w:line="250"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 w:lineRule="exact"/>
        <w:rPr>
          <w:rFonts w:ascii="Times New Roman" w:cs="Times New Roman" w:eastAsia="Times New Roman" w:hAnsi="Times New Roman"/>
          <w:sz w:val="18"/>
          <w:szCs w:val="18"/>
          <w:color w:val="auto"/>
        </w:rPr>
      </w:pPr>
    </w:p>
    <w:p>
      <w:pPr>
        <w:ind w:left="1300" w:right="120" w:hanging="320"/>
        <w:spacing w:after="0" w:line="250" w:lineRule="auto"/>
        <w:tabs>
          <w:tab w:leader="none" w:pos="129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 w:lineRule="exact"/>
        <w:rPr>
          <w:rFonts w:ascii="Times New Roman" w:cs="Times New Roman" w:eastAsia="Times New Roman" w:hAnsi="Times New Roman"/>
          <w:sz w:val="18"/>
          <w:szCs w:val="18"/>
          <w:color w:val="auto"/>
        </w:rPr>
      </w:pPr>
    </w:p>
    <w:p>
      <w:pPr>
        <w:ind w:left="1300" w:right="40" w:hanging="320"/>
        <w:spacing w:after="0" w:line="250" w:lineRule="auto"/>
        <w:tabs>
          <w:tab w:leader="none" w:pos="130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Times New Roman" w:cs="Times New Roman" w:eastAsia="Times New Roman" w:hAnsi="Times New Roman"/>
          <w:sz w:val="18"/>
          <w:szCs w:val="18"/>
          <w:color w:val="auto"/>
        </w:rPr>
      </w:pPr>
    </w:p>
    <w:p>
      <w:pPr>
        <w:ind w:left="1300" w:right="220" w:hanging="320"/>
        <w:spacing w:after="0" w:line="265" w:lineRule="auto"/>
        <w:tabs>
          <w:tab w:leader="none" w:pos="1290" w:val="left"/>
        </w:tabs>
        <w:numPr>
          <w:ilvl w:val="1"/>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1300" w:right="280" w:hanging="320"/>
        <w:spacing w:after="0" w:line="250" w:lineRule="auto"/>
        <w:tabs>
          <w:tab w:leader="none" w:pos="130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 w:lineRule="exact"/>
        <w:rPr>
          <w:rFonts w:ascii="Times New Roman" w:cs="Times New Roman" w:eastAsia="Times New Roman" w:hAnsi="Times New Roman"/>
          <w:sz w:val="18"/>
          <w:szCs w:val="18"/>
          <w:color w:val="auto"/>
        </w:rPr>
      </w:pPr>
    </w:p>
    <w:p>
      <w:pPr>
        <w:ind w:left="660" w:right="20" w:hanging="328"/>
        <w:spacing w:after="0" w:line="250"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ind w:left="1300" w:right="680" w:hanging="320"/>
        <w:spacing w:after="0" w:line="250" w:lineRule="auto"/>
        <w:tabs>
          <w:tab w:leader="none" w:pos="129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that are reasonably likely to adversely affect the registrant's ability to record, process, summarize and report financial information; and</w:t>
      </w:r>
    </w:p>
    <w:p>
      <w:pPr>
        <w:ind w:left="1300" w:right="220" w:hanging="320"/>
        <w:spacing w:after="0" w:line="260" w:lineRule="auto"/>
        <w:tabs>
          <w:tab w:leader="none" w:pos="130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8, 2025</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/s/ Jason Combs</w:t>
      </w:r>
    </w:p>
    <w:p>
      <w:pPr>
        <w:spacing w:after="0" w:line="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Jason Combs</w:t>
      </w:r>
    </w:p>
    <w:p>
      <w:pPr>
        <w:spacing w:after="0" w:line="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p>
      <w:pPr>
        <w:sectPr>
          <w:pgSz w:w="11900" w:h="16838" w:orient="portrait"/>
          <w:cols w:equalWidth="0" w:num="1">
            <w:col w:w="11240"/>
          </w:cols>
          <w:pgMar w:left="320" w:top="887" w:right="339" w:bottom="1440" w:gutter="0" w:footer="0" w:header="0"/>
        </w:sectPr>
      </w:pPr>
    </w:p>
    <w:bookmarkStart w:id="44" w:name="page45"/>
    <w:bookmarkEnd w:id="44"/>
    <w:p>
      <w:pPr>
        <w:jc w:val="right"/>
        <w:spacing w:after="0"/>
        <w:rPr>
          <w:sz w:val="20"/>
          <w:szCs w:val="20"/>
          <w:color w:val="auto"/>
        </w:rPr>
      </w:pPr>
      <w:r>
        <w:rPr>
          <w:rFonts w:ascii="Times New Roman" w:cs="Times New Roman" w:eastAsia="Times New Roman" w:hAnsi="Times New Roman"/>
          <w:sz w:val="18"/>
          <w:szCs w:val="18"/>
          <w:b w:val="1"/>
          <w:bCs w:val="1"/>
          <w:color w:val="auto"/>
        </w:rPr>
        <w:t>Exhibit 32.A</w:t>
      </w:r>
    </w:p>
    <w:p>
      <w:pPr>
        <w:spacing w:after="0" w:line="3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Section 906 Certifications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Section 906 of the Sarbanes-Oxley Act Of 2002</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Adam P. Symson, President and Chief Executive Officer of The E.W. Scripps Company (the “Company”), hereby certify, pursuant to Section 906 of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Sarbanes-Oxley Act of 2002, that:</w:t>
      </w:r>
    </w:p>
    <w:p>
      <w:pPr>
        <w:spacing w:after="0" w:line="234" w:lineRule="exact"/>
        <w:rPr>
          <w:sz w:val="20"/>
          <w:szCs w:val="20"/>
          <w:color w:val="auto"/>
        </w:rPr>
      </w:pPr>
    </w:p>
    <w:p>
      <w:pPr>
        <w:ind w:left="660" w:right="360" w:hanging="328"/>
        <w:spacing w:after="0" w:line="282" w:lineRule="auto"/>
        <w:tabs>
          <w:tab w:leader="none" w:pos="654"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Report on Form 10-Q of the Company for the period ended June 30, 2025 (the “Report”), which this certification accompanies, fully complies with the requirements of Section 13(a) or 15(d) of the Securities Exchange Act of 1934; and</w:t>
      </w:r>
    </w:p>
    <w:p>
      <w:pPr>
        <w:spacing w:after="0" w:line="188"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/s/ Adam P. Symson</w:t>
      </w:r>
    </w:p>
    <w:p>
      <w:pPr>
        <w:spacing w:after="0" w:line="3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Adam P. Symson</w:t>
      </w:r>
    </w:p>
    <w:p>
      <w:pPr>
        <w:spacing w:after="0" w:line="2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August 8, 2025</w:t>
      </w:r>
    </w:p>
    <w:p>
      <w:pPr>
        <w:sectPr>
          <w:pgSz w:w="11900" w:h="16838" w:orient="portrait"/>
          <w:cols w:equalWidth="0" w:num="1">
            <w:col w:w="11240"/>
          </w:cols>
          <w:pgMar w:left="320" w:top="887" w:right="339" w:bottom="1440" w:gutter="0" w:footer="0" w:header="0"/>
        </w:sectPr>
      </w:pPr>
    </w:p>
    <w:bookmarkStart w:id="45" w:name="page46"/>
    <w:bookmarkEnd w:id="45"/>
    <w:p>
      <w:pPr>
        <w:jc w:val="right"/>
        <w:spacing w:after="0"/>
        <w:rPr>
          <w:sz w:val="20"/>
          <w:szCs w:val="20"/>
          <w:color w:val="auto"/>
        </w:rPr>
      </w:pPr>
      <w:r>
        <w:rPr>
          <w:rFonts w:ascii="Times New Roman" w:cs="Times New Roman" w:eastAsia="Times New Roman" w:hAnsi="Times New Roman"/>
          <w:sz w:val="18"/>
          <w:szCs w:val="18"/>
          <w:b w:val="1"/>
          <w:bCs w:val="1"/>
          <w:color w:val="auto"/>
        </w:rPr>
        <w:t>Exhibit 32.B</w:t>
      </w:r>
    </w:p>
    <w:p>
      <w:pPr>
        <w:spacing w:after="0" w:line="3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Section 906 Certifications</w:t>
      </w: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Section 906 of the Sarbanes-Oxley Act Of 2002</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Jason Combs, Executive Vice President and Chief Financial Officer of The E.W. Scripps Company (the “Company”), hereby certify, pursuant to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906 of the Sarbanes-Oxley Act of 2002, that:</w:t>
      </w:r>
    </w:p>
    <w:p>
      <w:pPr>
        <w:spacing w:after="0" w:line="234" w:lineRule="exact"/>
        <w:rPr>
          <w:sz w:val="20"/>
          <w:szCs w:val="20"/>
          <w:color w:val="auto"/>
        </w:rPr>
      </w:pPr>
    </w:p>
    <w:p>
      <w:pPr>
        <w:ind w:left="660" w:right="360" w:hanging="328"/>
        <w:spacing w:after="0" w:line="282" w:lineRule="auto"/>
        <w:tabs>
          <w:tab w:leader="none" w:pos="654"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Report on Form 10-Q of the Company for the period ended June 30, 2025 (the “Report”), which this certification accompanies, fully complies with the requirements of Section 13(a) or 15(d) of the Securities Exchange Act of 1934; and</w:t>
      </w:r>
    </w:p>
    <w:p>
      <w:pPr>
        <w:spacing w:after="0" w:line="188"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/s/ Jason Combs</w:t>
      </w:r>
    </w:p>
    <w:p>
      <w:pPr>
        <w:spacing w:after="0" w:line="3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Jason Combs</w:t>
      </w:r>
    </w:p>
    <w:p>
      <w:pPr>
        <w:spacing w:after="0" w:line="2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p>
      <w:pPr>
        <w:spacing w:after="0" w:line="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August 8, 2025</w:t>
      </w: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16231B"/>
    <w:multiLevelType w:val="hybridMultilevel"/>
    <w:lvl w:ilvl="0">
      <w:lvlJc w:val="left"/>
      <w:lvlText w:val="☑"/>
      <w:numFmt w:val="bullet"/>
      <w:start w:val="1"/>
    </w:lvl>
  </w:abstractNum>
  <w:abstractNum w:abstractNumId="1">
    <w:nsid w:val="1F16E9E8"/>
    <w:multiLevelType w:val="hybridMultilevel"/>
    <w:lvl w:ilvl="0">
      <w:lvlJc w:val="left"/>
      <w:lvlText w:val="☐"/>
      <w:numFmt w:val="bullet"/>
      <w:start w:val="1"/>
    </w:lvl>
  </w:abstractNum>
  <w:abstractNum w:abstractNumId="2">
    <w:nsid w:val="1190CDE7"/>
    <w:multiLevelType w:val="hybridMultilevel"/>
    <w:lvl w:ilvl="0">
      <w:lvlJc w:val="left"/>
      <w:lvlText w:val="%1"/>
      <w:numFmt w:val="decimal"/>
      <w:start w:val="101"/>
    </w:lvl>
  </w:abstractNum>
  <w:abstractNum w:abstractNumId="3">
    <w:nsid w:val="66EF438D"/>
    <w:multiLevelType w:val="hybridMultilevel"/>
    <w:lvl w:ilvl="0">
      <w:lvlJc w:val="left"/>
      <w:lvlText w:val="*"/>
      <w:numFmt w:val="bullet"/>
      <w:start w:val="1"/>
    </w:lvl>
    <w:lvl w:ilvl="1">
      <w:lvlJc w:val="left"/>
      <w:lvlText w:val="%2"/>
      <w:numFmt w:val="decimal"/>
      <w:start w:val="104"/>
    </w:lvl>
  </w:abstractNum>
  <w:abstractNum w:abstractNumId="4">
    <w:nsid w:val="140E0F76"/>
    <w:multiLevelType w:val="hybridMultilevel"/>
    <w:lvl w:ilvl="0">
      <w:lvlJc w:val="left"/>
      <w:lvlText w:val="*"/>
      <w:numFmt w:val="bullet"/>
      <w:start w:val="1"/>
    </w:lvl>
  </w:abstractNum>
  <w:abstractNum w:abstractNumId="5">
    <w:nsid w:val="3352255A"/>
    <w:multiLevelType w:val="hybridMultilevel"/>
    <w:lvl w:ilvl="0">
      <w:lvlJc w:val="left"/>
      <w:lvlText w:val="(%1)"/>
      <w:numFmt w:val="lowerLetter"/>
      <w:start w:val="1"/>
    </w:lvl>
  </w:abstractNum>
  <w:abstractNum w:abstractNumId="6">
    <w:nsid w:val="109CF92E"/>
    <w:multiLevelType w:val="hybridMultilevel"/>
    <w:lvl w:ilvl="0">
      <w:lvlJc w:val="left"/>
      <w:lvlText w:val="*"/>
      <w:numFmt w:val="bullet"/>
      <w:start w:val="1"/>
    </w:lvl>
  </w:abstractNum>
  <w:abstractNum w:abstractNumId="7">
    <w:nsid w:val="DED7263"/>
    <w:multiLevelType w:val="hybridMultilevel"/>
    <w:lvl w:ilvl="0">
      <w:lvlJc w:val="left"/>
      <w:lvlText w:val="(%1)"/>
      <w:numFmt w:val="lowerRoman"/>
      <w:start w:val="2"/>
    </w:lvl>
  </w:abstractNum>
  <w:abstractNum w:abstractNumId="8">
    <w:nsid w:val="7FDCC233"/>
    <w:multiLevelType w:val="hybridMultilevel"/>
    <w:lvl w:ilvl="0">
      <w:lvlJc w:val="left"/>
      <w:lvlText w:val="(%1)"/>
      <w:numFmt w:val="lowerLetter"/>
      <w:start w:val="1"/>
    </w:lvl>
  </w:abstractNum>
  <w:abstractNum w:abstractNumId="9">
    <w:nsid w:val="1BEFD79F"/>
    <w:multiLevelType w:val="hybridMultilevel"/>
    <w:lvl w:ilvl="0">
      <w:lvlJc w:val="left"/>
      <w:lvlText w:val="(%1)"/>
      <w:numFmt w:val="lowerLetter"/>
      <w:start w:val="1"/>
    </w:lvl>
  </w:abstractNum>
  <w:abstractNum w:abstractNumId="10">
    <w:nsid w:val="41A7C4C9"/>
    <w:multiLevelType w:val="hybridMultilevel"/>
    <w:lvl w:ilvl="0">
      <w:lvlJc w:val="left"/>
      <w:lvlText w:val="(%1)"/>
      <w:numFmt w:val="lowerLetter"/>
      <w:start w:val="1"/>
    </w:lvl>
  </w:abstractNum>
  <w:abstractNum w:abstractNumId="11">
    <w:nsid w:val="6B68079A"/>
    <w:multiLevelType w:val="hybridMultilevel"/>
    <w:lvl w:ilvl="0">
      <w:lvlJc w:val="left"/>
      <w:lvlText w:val="(%1)"/>
      <w:numFmt w:val="lowerLetter"/>
      <w:start w:val="1"/>
    </w:lvl>
  </w:abstractNum>
  <w:abstractNum w:abstractNumId="12">
    <w:nsid w:val="4E6AFB66"/>
    <w:multiLevelType w:val="hybridMultilevel"/>
    <w:lvl w:ilvl="0">
      <w:lvlJc w:val="left"/>
      <w:lvlText w:val="(%1)"/>
      <w:numFmt w:val="lowerLetter"/>
      <w:start w:val="1"/>
    </w:lvl>
  </w:abstractNum>
  <w:abstractNum w:abstractNumId="13">
    <w:nsid w:val="25E45D32"/>
    <w:multiLevelType w:val="hybridMultilevel"/>
    <w:lvl w:ilvl="0">
      <w:lvlJc w:val="left"/>
      <w:lvlText w:val="(%1)"/>
      <w:numFmt w:val="lowerLetter"/>
      <w:start w:val="1"/>
    </w:lvl>
  </w:abstractNum>
  <w:abstractNum w:abstractNumId="14">
    <w:nsid w:val="519B500D"/>
    <w:multiLevelType w:val="hybridMultilevel"/>
    <w:lvl w:ilvl="0">
      <w:lvlJc w:val="left"/>
      <w:lvlText w:val="(%1)"/>
      <w:numFmt w:val="lowerLetter"/>
      <w:start w:val="1"/>
    </w:lvl>
  </w:abstractNum>
  <w:abstractNum w:abstractNumId="15">
    <w:nsid w:val="431BD7B7"/>
    <w:multiLevelType w:val="hybridMultilevel"/>
    <w:lvl w:ilvl="0">
      <w:lvlJc w:val="left"/>
      <w:lvlText w:val="%1."/>
      <w:numFmt w:val="decimal"/>
      <w:start w:val="1"/>
    </w:lvl>
  </w:abstractNum>
  <w:abstractNum w:abstractNumId="16">
    <w:nsid w:val="3F2DBA31"/>
    <w:multiLevelType w:val="hybridMultilevel"/>
    <w:lvl w:ilvl="0">
      <w:lvlJc w:val="left"/>
      <w:lvlText w:val="%1."/>
      <w:numFmt w:val="decimal"/>
      <w:start w:val="1"/>
    </w:lvl>
    <w:lvl w:ilvl="1">
      <w:lvlJc w:val="left"/>
      <w:lvlText w:val="%2."/>
      <w:numFmt w:val="lowerLetter"/>
      <w:start w:val="1"/>
    </w:lvl>
  </w:abstractNum>
  <w:abstractNum w:abstractNumId="17">
    <w:nsid w:val="7C83E458"/>
    <w:multiLevelType w:val="hybridMultilevel"/>
    <w:lvl w:ilvl="0">
      <w:lvlJc w:val="left"/>
      <w:lvlText w:val="%1."/>
      <w:numFmt w:val="decimal"/>
      <w:start w:val="1"/>
    </w:lvl>
    <w:lvl w:ilvl="1">
      <w:lvlJc w:val="left"/>
      <w:lvlText w:val="%2."/>
      <w:numFmt w:val="lowerLetter"/>
      <w:start w:val="1"/>
    </w:lvl>
  </w:abstractNum>
  <w:abstractNum w:abstractNumId="18">
    <w:nsid w:val="257130A3"/>
    <w:multiLevelType w:val="hybridMultilevel"/>
    <w:lvl w:ilvl="0">
      <w:lvlJc w:val="left"/>
      <w:lvlText w:val="(%1)"/>
      <w:numFmt w:val="decimal"/>
      <w:start w:val="1"/>
    </w:lvl>
  </w:abstractNum>
  <w:abstractNum w:abstractNumId="19">
    <w:nsid w:val="62BBD9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2025-08-08T11:54:53Z</dcterms:created>
  <dcterms:modified xsi:type="dcterms:W3CDTF">2025-08-08T11:54:53Z</dcterms:modified>
</cp:coreProperties>
</file>